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426D553" w14:textId="14D4802B" w:rsidR="0042252E" w:rsidRDefault="000B0430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实训设备</w:t>
      </w:r>
      <w:r w:rsidR="00852491">
        <w:rPr>
          <w:rFonts w:ascii="方正小标宋_GBK" w:eastAsia="方正小标宋_GBK" w:hint="eastAsia"/>
          <w:b/>
          <w:sz w:val="36"/>
          <w:szCs w:val="36"/>
        </w:rPr>
        <w:t>（钢琴、投影仪等）</w:t>
      </w:r>
      <w:r>
        <w:rPr>
          <w:rFonts w:ascii="方正小标宋_GBK" w:eastAsia="方正小标宋_GBK" w:hint="eastAsia"/>
          <w:b/>
          <w:sz w:val="36"/>
          <w:szCs w:val="36"/>
        </w:rPr>
        <w:t>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32689F3C" w:rsidR="0042252E" w:rsidRDefault="000B0430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12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1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5EDB6BD0" w:rsidR="0042252E" w:rsidRDefault="000B0430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实训设备</w:t>
      </w:r>
      <w:r w:rsidR="00A20C1E">
        <w:rPr>
          <w:rFonts w:ascii="宋体" w:hAnsi="宋体" w:hint="eastAsia"/>
          <w:color w:val="000000"/>
          <w:sz w:val="24"/>
        </w:rPr>
        <w:t>（钢琴、投影仪等）</w:t>
      </w:r>
      <w:r w:rsidR="00D12713">
        <w:rPr>
          <w:rFonts w:ascii="宋体" w:hAnsi="宋体" w:hint="eastAsia"/>
          <w:color w:val="000000"/>
          <w:sz w:val="24"/>
        </w:rPr>
        <w:t>采购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20241225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8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2902"/>
        <w:gridCol w:w="1522"/>
        <w:gridCol w:w="2363"/>
      </w:tblGrid>
      <w:tr w:rsidR="000B0430" w14:paraId="29956DCC" w14:textId="0B3B3A30" w:rsidTr="000B0430">
        <w:trPr>
          <w:trHeight w:val="465"/>
          <w:jc w:val="center"/>
        </w:trPr>
        <w:tc>
          <w:tcPr>
            <w:tcW w:w="1343" w:type="dxa"/>
          </w:tcPr>
          <w:p w14:paraId="468B6B58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902" w:type="dxa"/>
          </w:tcPr>
          <w:p w14:paraId="6DA1F16C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1522" w:type="dxa"/>
          </w:tcPr>
          <w:p w14:paraId="0A2066E9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2363" w:type="dxa"/>
          </w:tcPr>
          <w:p w14:paraId="1818B1E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</w:tr>
      <w:tr w:rsidR="000B0430" w14:paraId="5695B66E" w14:textId="39B63C99" w:rsidTr="000B0430">
        <w:trPr>
          <w:trHeight w:val="467"/>
          <w:jc w:val="center"/>
        </w:trPr>
        <w:tc>
          <w:tcPr>
            <w:tcW w:w="1343" w:type="dxa"/>
          </w:tcPr>
          <w:p w14:paraId="64A1EFD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902" w:type="dxa"/>
          </w:tcPr>
          <w:p w14:paraId="337A146C" w14:textId="316C9D5C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钢琴</w:t>
            </w:r>
          </w:p>
        </w:tc>
        <w:tc>
          <w:tcPr>
            <w:tcW w:w="1522" w:type="dxa"/>
          </w:tcPr>
          <w:p w14:paraId="0B4AE02E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52870A18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台</w:t>
            </w:r>
          </w:p>
        </w:tc>
      </w:tr>
      <w:tr w:rsidR="000B0430" w14:paraId="074B28E3" w14:textId="6524269C" w:rsidTr="000B0430">
        <w:trPr>
          <w:trHeight w:val="467"/>
          <w:jc w:val="center"/>
        </w:trPr>
        <w:tc>
          <w:tcPr>
            <w:tcW w:w="1343" w:type="dxa"/>
          </w:tcPr>
          <w:p w14:paraId="48847500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2</w:t>
            </w:r>
          </w:p>
        </w:tc>
        <w:tc>
          <w:tcPr>
            <w:tcW w:w="2902" w:type="dxa"/>
          </w:tcPr>
          <w:p w14:paraId="1C894F1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数码钢琴</w:t>
            </w:r>
          </w:p>
        </w:tc>
        <w:tc>
          <w:tcPr>
            <w:tcW w:w="1522" w:type="dxa"/>
          </w:tcPr>
          <w:p w14:paraId="213BC9F8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2363" w:type="dxa"/>
          </w:tcPr>
          <w:p w14:paraId="0DBFE45F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台</w:t>
            </w:r>
          </w:p>
        </w:tc>
      </w:tr>
      <w:tr w:rsidR="000B0430" w14:paraId="4329D59B" w14:textId="50969EBD" w:rsidTr="000B0430">
        <w:trPr>
          <w:trHeight w:val="466"/>
          <w:jc w:val="center"/>
        </w:trPr>
        <w:tc>
          <w:tcPr>
            <w:tcW w:w="1343" w:type="dxa"/>
          </w:tcPr>
          <w:p w14:paraId="696C3D5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3</w:t>
            </w:r>
          </w:p>
        </w:tc>
        <w:tc>
          <w:tcPr>
            <w:tcW w:w="2902" w:type="dxa"/>
          </w:tcPr>
          <w:p w14:paraId="787936BF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练习钢琴</w:t>
            </w:r>
          </w:p>
        </w:tc>
        <w:tc>
          <w:tcPr>
            <w:tcW w:w="1522" w:type="dxa"/>
          </w:tcPr>
          <w:p w14:paraId="6616C747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2</w:t>
            </w:r>
          </w:p>
        </w:tc>
        <w:tc>
          <w:tcPr>
            <w:tcW w:w="2363" w:type="dxa"/>
          </w:tcPr>
          <w:p w14:paraId="12E7D12D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台</w:t>
            </w:r>
          </w:p>
        </w:tc>
      </w:tr>
      <w:tr w:rsidR="000B0430" w14:paraId="60C0D1C3" w14:textId="6EE15D0D" w:rsidTr="000B0430">
        <w:trPr>
          <w:trHeight w:val="468"/>
          <w:jc w:val="center"/>
        </w:trPr>
        <w:tc>
          <w:tcPr>
            <w:tcW w:w="1343" w:type="dxa"/>
          </w:tcPr>
          <w:p w14:paraId="36F46DE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4</w:t>
            </w:r>
          </w:p>
        </w:tc>
        <w:tc>
          <w:tcPr>
            <w:tcW w:w="2902" w:type="dxa"/>
          </w:tcPr>
          <w:p w14:paraId="5A283105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投影仪及配套设备</w:t>
            </w:r>
          </w:p>
        </w:tc>
        <w:tc>
          <w:tcPr>
            <w:tcW w:w="1522" w:type="dxa"/>
          </w:tcPr>
          <w:p w14:paraId="1DD8A1EE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1AC8F769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组</w:t>
            </w:r>
          </w:p>
        </w:tc>
      </w:tr>
      <w:tr w:rsidR="000B0430" w14:paraId="4CD0B458" w14:textId="79425A91" w:rsidTr="000B0430">
        <w:trPr>
          <w:trHeight w:val="466"/>
          <w:jc w:val="center"/>
        </w:trPr>
        <w:tc>
          <w:tcPr>
            <w:tcW w:w="1343" w:type="dxa"/>
          </w:tcPr>
          <w:p w14:paraId="603C0F56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5</w:t>
            </w:r>
          </w:p>
        </w:tc>
        <w:tc>
          <w:tcPr>
            <w:tcW w:w="2902" w:type="dxa"/>
          </w:tcPr>
          <w:p w14:paraId="7B254CDA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校园网络工程</w:t>
            </w:r>
          </w:p>
        </w:tc>
        <w:tc>
          <w:tcPr>
            <w:tcW w:w="1522" w:type="dxa"/>
          </w:tcPr>
          <w:p w14:paraId="5B44A19D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72F8E451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项</w:t>
            </w:r>
          </w:p>
        </w:tc>
      </w:tr>
      <w:tr w:rsidR="000B0430" w14:paraId="0FF81526" w14:textId="7731D734" w:rsidTr="000B0430">
        <w:trPr>
          <w:trHeight w:val="467"/>
          <w:jc w:val="center"/>
        </w:trPr>
        <w:tc>
          <w:tcPr>
            <w:tcW w:w="1343" w:type="dxa"/>
          </w:tcPr>
          <w:p w14:paraId="7DA38269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6</w:t>
            </w:r>
          </w:p>
        </w:tc>
        <w:tc>
          <w:tcPr>
            <w:tcW w:w="2902" w:type="dxa"/>
          </w:tcPr>
          <w:p w14:paraId="04CEEC4F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实训耗材</w:t>
            </w:r>
          </w:p>
        </w:tc>
        <w:tc>
          <w:tcPr>
            <w:tcW w:w="1522" w:type="dxa"/>
          </w:tcPr>
          <w:p w14:paraId="0A5D0210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2D24D11E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项</w:t>
            </w:r>
          </w:p>
        </w:tc>
      </w:tr>
      <w:tr w:rsidR="000B0430" w14:paraId="3E6C1D03" w14:textId="4F52C9D2" w:rsidTr="000B0430">
        <w:trPr>
          <w:trHeight w:val="467"/>
          <w:jc w:val="center"/>
        </w:trPr>
        <w:tc>
          <w:tcPr>
            <w:tcW w:w="1343" w:type="dxa"/>
          </w:tcPr>
          <w:p w14:paraId="3B50162A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8</w:t>
            </w:r>
          </w:p>
        </w:tc>
        <w:tc>
          <w:tcPr>
            <w:tcW w:w="2902" w:type="dxa"/>
          </w:tcPr>
          <w:p w14:paraId="0A6F2E6A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>
              <w:rPr>
                <w:sz w:val="21"/>
              </w:rPr>
              <w:t>实训器材</w:t>
            </w:r>
          </w:p>
        </w:tc>
        <w:tc>
          <w:tcPr>
            <w:tcW w:w="1522" w:type="dxa"/>
          </w:tcPr>
          <w:p w14:paraId="6962C1B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1</w:t>
            </w:r>
          </w:p>
        </w:tc>
        <w:tc>
          <w:tcPr>
            <w:tcW w:w="2363" w:type="dxa"/>
          </w:tcPr>
          <w:p w14:paraId="0CAE0DD4" w14:textId="77777777" w:rsidR="000B0430" w:rsidRDefault="000B0430" w:rsidP="003800D0">
            <w:pPr>
              <w:pStyle w:val="TableParagraph"/>
              <w:ind w:left="134" w:right="125"/>
              <w:rPr>
                <w:sz w:val="21"/>
              </w:rPr>
            </w:pPr>
            <w:r w:rsidRPr="003800D0">
              <w:rPr>
                <w:sz w:val="21"/>
              </w:rPr>
              <w:t>套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lastRenderedPageBreak/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1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477ACFA9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" w:name="OLE_LINK1"/>
      <w:r>
        <w:rPr>
          <w:rFonts w:ascii="宋体" w:hAnsi="宋体" w:hint="eastAsia"/>
          <w:sz w:val="24"/>
        </w:rPr>
        <w:t>中标单位应于</w:t>
      </w:r>
      <w:r w:rsidR="00D40A9C">
        <w:rPr>
          <w:rFonts w:ascii="宋体" w:hAnsi="宋体" w:hint="eastAsia"/>
          <w:sz w:val="24"/>
        </w:rPr>
        <w:t>2</w:t>
      </w:r>
      <w:r w:rsidR="00D40A9C">
        <w:rPr>
          <w:rFonts w:ascii="宋体" w:hAnsi="宋体"/>
          <w:sz w:val="24"/>
        </w:rPr>
        <w:t>025年</w:t>
      </w:r>
      <w:r w:rsidR="00D40A9C">
        <w:rPr>
          <w:rFonts w:ascii="宋体" w:hAnsi="宋体" w:hint="eastAsia"/>
          <w:sz w:val="24"/>
        </w:rPr>
        <w:t>7月3</w:t>
      </w:r>
      <w:r w:rsidR="00D40A9C">
        <w:rPr>
          <w:rFonts w:ascii="宋体" w:hAnsi="宋体"/>
          <w:sz w:val="24"/>
        </w:rPr>
        <w:t>1日前</w:t>
      </w:r>
      <w:r w:rsidRPr="00C97C90">
        <w:rPr>
          <w:rFonts w:ascii="宋体" w:hAnsi="宋体" w:hint="eastAsia"/>
          <w:sz w:val="24"/>
        </w:rPr>
        <w:t>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1"/>
    <w:bookmarkEnd w:id="2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765D2E71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</w:t>
      </w:r>
      <w:r w:rsidR="000235C0">
        <w:rPr>
          <w:rFonts w:ascii="宋体" w:hAnsi="宋体" w:hint="eastAsia"/>
          <w:color w:val="000000"/>
          <w:sz w:val="24"/>
        </w:rPr>
        <w:t>202</w:t>
      </w:r>
      <w:r w:rsidR="000235C0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年</w:t>
      </w:r>
      <w:r w:rsidR="000235C0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0235C0">
        <w:rPr>
          <w:rFonts w:ascii="宋体" w:hAnsi="宋体"/>
          <w:color w:val="000000"/>
          <w:sz w:val="24"/>
        </w:rPr>
        <w:t>1</w:t>
      </w:r>
      <w:r w:rsidR="000235C0">
        <w:rPr>
          <w:rFonts w:ascii="宋体" w:hAnsi="宋体" w:hint="eastAsia"/>
          <w:color w:val="000000"/>
          <w:sz w:val="24"/>
        </w:rPr>
        <w:t>日上</w:t>
      </w:r>
      <w:r w:rsidR="00EE06F5">
        <w:rPr>
          <w:rFonts w:ascii="宋体" w:hAnsi="宋体" w:hint="eastAsia"/>
          <w:color w:val="000000"/>
          <w:sz w:val="24"/>
        </w:rPr>
        <w:t>午</w:t>
      </w:r>
      <w:r w:rsidR="000235C0">
        <w:rPr>
          <w:rFonts w:ascii="宋体" w:hAnsi="宋体"/>
          <w:color w:val="000000"/>
          <w:sz w:val="24"/>
        </w:rPr>
        <w:t>10</w:t>
      </w:r>
      <w:r w:rsidR="00EE06F5">
        <w:rPr>
          <w:rFonts w:ascii="宋体" w:hAnsi="宋体" w:hint="eastAsia"/>
          <w:color w:val="000000"/>
          <w:sz w:val="24"/>
        </w:rPr>
        <w:t>:</w:t>
      </w:r>
      <w:r w:rsidR="003D1653">
        <w:rPr>
          <w:rFonts w:ascii="宋体" w:hAnsi="宋体" w:hint="eastAsia"/>
          <w:color w:val="000000"/>
          <w:sz w:val="24"/>
        </w:rPr>
        <w:t>00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lastRenderedPageBreak/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A31F5" w14:textId="77777777" w:rsidR="004F2C46" w:rsidRDefault="004F2C46">
      <w:r>
        <w:separator/>
      </w:r>
    </w:p>
  </w:endnote>
  <w:endnote w:type="continuationSeparator" w:id="0">
    <w:p w14:paraId="78D380C9" w14:textId="77777777" w:rsidR="004F2C46" w:rsidRDefault="004F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BCEEC42-C48B-4FFA-9DE9-AE4516B9F5B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81822903-FC32-48AE-87C6-36F8947F02C5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877B0EB9-4746-42C5-9D91-7012B448154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FDD6C0C1-8C54-4CC4-B34F-A630791C92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9F9" w:rsidRPr="005409F9">
      <w:rPr>
        <w:noProof/>
        <w:lang w:val="zh-CN"/>
      </w:rPr>
      <w:t>1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FF028" w14:textId="77777777" w:rsidR="004F2C46" w:rsidRDefault="004F2C46">
      <w:r>
        <w:separator/>
      </w:r>
    </w:p>
  </w:footnote>
  <w:footnote w:type="continuationSeparator" w:id="0">
    <w:p w14:paraId="44D2E7A5" w14:textId="77777777" w:rsidR="004F2C46" w:rsidRDefault="004F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5C0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430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1744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413A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00D0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C46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09F9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2491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0C1E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0A9C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0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500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07F493-80C8-482C-9800-4E40C263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0B0430"/>
    <w:pPr>
      <w:autoSpaceDE w:val="0"/>
      <w:autoSpaceDN w:val="0"/>
      <w:spacing w:before="98"/>
      <w:jc w:val="center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607</Words>
  <Characters>3461</Characters>
  <Application>Microsoft Office Word</Application>
  <DocSecurity>0</DocSecurity>
  <Lines>28</Lines>
  <Paragraphs>8</Paragraphs>
  <ScaleCrop>false</ScaleCrop>
  <Company>微软中国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102</cp:revision>
  <cp:lastPrinted>2025-06-19T07:57:00Z</cp:lastPrinted>
  <dcterms:created xsi:type="dcterms:W3CDTF">2025-03-17T01:19:00Z</dcterms:created>
  <dcterms:modified xsi:type="dcterms:W3CDTF">2026-03-20T03:27:00Z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