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072D" w14:textId="77777777" w:rsidR="00530312" w:rsidRDefault="00530312">
      <w:pPr>
        <w:spacing w:line="360" w:lineRule="auto"/>
        <w:jc w:val="center"/>
        <w:rPr>
          <w:rFonts w:ascii="宋体" w:hAnsi="宋体"/>
          <w:b/>
          <w:bCs/>
          <w:sz w:val="44"/>
          <w:szCs w:val="44"/>
        </w:rPr>
      </w:pPr>
    </w:p>
    <w:p w14:paraId="1D6E6290" w14:textId="77777777" w:rsidR="00530312" w:rsidRDefault="00530312">
      <w:pPr>
        <w:spacing w:line="360" w:lineRule="auto"/>
        <w:jc w:val="center"/>
        <w:rPr>
          <w:rFonts w:ascii="宋体" w:hAnsi="宋体"/>
          <w:b/>
          <w:bCs/>
          <w:sz w:val="44"/>
          <w:szCs w:val="44"/>
        </w:rPr>
      </w:pPr>
    </w:p>
    <w:p w14:paraId="5BB33D00" w14:textId="77777777" w:rsidR="00530312" w:rsidRDefault="00530312">
      <w:pPr>
        <w:spacing w:line="360" w:lineRule="auto"/>
        <w:jc w:val="center"/>
        <w:rPr>
          <w:rFonts w:ascii="宋体" w:hAnsi="宋体"/>
          <w:b/>
          <w:bCs/>
          <w:sz w:val="44"/>
          <w:szCs w:val="44"/>
        </w:rPr>
      </w:pPr>
    </w:p>
    <w:p w14:paraId="22869450" w14:textId="77777777" w:rsidR="00530312" w:rsidRDefault="00530312">
      <w:pPr>
        <w:spacing w:line="360" w:lineRule="auto"/>
        <w:jc w:val="center"/>
        <w:rPr>
          <w:rFonts w:ascii="宋体" w:hAnsi="宋体"/>
          <w:b/>
          <w:bCs/>
          <w:sz w:val="44"/>
          <w:szCs w:val="44"/>
        </w:rPr>
      </w:pPr>
    </w:p>
    <w:p w14:paraId="673EB4EA" w14:textId="77777777" w:rsidR="00530312" w:rsidRDefault="005170F5">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14:paraId="7426D553" w14:textId="77777777" w:rsidR="00530312" w:rsidRDefault="005170F5">
      <w:pPr>
        <w:spacing w:line="360" w:lineRule="auto"/>
        <w:jc w:val="center"/>
        <w:rPr>
          <w:rFonts w:ascii="方正小标宋_GBK" w:eastAsia="方正小标宋_GBK"/>
          <w:b/>
          <w:sz w:val="36"/>
          <w:szCs w:val="36"/>
        </w:rPr>
      </w:pPr>
      <w:r>
        <w:rPr>
          <w:rFonts w:ascii="方正小标宋_GBK" w:eastAsia="方正小标宋_GBK" w:hint="eastAsia"/>
          <w:b/>
          <w:sz w:val="36"/>
          <w:szCs w:val="36"/>
        </w:rPr>
        <w:t>数据中台建设项目竞争性谈判文件</w:t>
      </w:r>
    </w:p>
    <w:p w14:paraId="61166E2D" w14:textId="77777777" w:rsidR="00530312" w:rsidRDefault="00530312">
      <w:pPr>
        <w:spacing w:line="360" w:lineRule="auto"/>
        <w:jc w:val="center"/>
        <w:rPr>
          <w:rFonts w:ascii="华文仿宋" w:eastAsia="华文仿宋" w:hAnsi="华文仿宋"/>
          <w:b/>
          <w:color w:val="FF0000"/>
          <w:sz w:val="32"/>
          <w:szCs w:val="32"/>
        </w:rPr>
      </w:pPr>
    </w:p>
    <w:p w14:paraId="179ECB0B" w14:textId="77777777" w:rsidR="00530312" w:rsidRDefault="00530312">
      <w:pPr>
        <w:spacing w:line="360" w:lineRule="auto"/>
        <w:ind w:leftChars="229" w:left="481" w:firstLineChars="20" w:firstLine="72"/>
        <w:jc w:val="center"/>
        <w:rPr>
          <w:rFonts w:ascii="宋体" w:hAnsi="宋体"/>
          <w:b/>
          <w:spacing w:val="20"/>
          <w:sz w:val="32"/>
          <w:szCs w:val="32"/>
        </w:rPr>
      </w:pPr>
    </w:p>
    <w:p w14:paraId="004E5E9E" w14:textId="77777777" w:rsidR="00530312" w:rsidRDefault="00530312">
      <w:pPr>
        <w:spacing w:line="360" w:lineRule="auto"/>
        <w:ind w:leftChars="229" w:left="481" w:firstLineChars="20" w:firstLine="72"/>
        <w:jc w:val="center"/>
        <w:rPr>
          <w:rFonts w:ascii="宋体" w:hAnsi="宋体"/>
          <w:b/>
          <w:spacing w:val="20"/>
          <w:sz w:val="32"/>
          <w:szCs w:val="32"/>
        </w:rPr>
      </w:pPr>
    </w:p>
    <w:p w14:paraId="7019BFB6" w14:textId="77777777" w:rsidR="00530312" w:rsidRDefault="00530312">
      <w:pPr>
        <w:spacing w:line="360" w:lineRule="auto"/>
        <w:ind w:leftChars="229" w:left="481" w:firstLineChars="20" w:firstLine="72"/>
        <w:jc w:val="center"/>
        <w:rPr>
          <w:rFonts w:ascii="宋体" w:hAnsi="宋体"/>
          <w:b/>
          <w:spacing w:val="20"/>
          <w:sz w:val="32"/>
          <w:szCs w:val="32"/>
        </w:rPr>
      </w:pPr>
    </w:p>
    <w:p w14:paraId="4C386CA9" w14:textId="77777777" w:rsidR="00530312" w:rsidRDefault="00530312">
      <w:pPr>
        <w:spacing w:line="360" w:lineRule="auto"/>
        <w:ind w:leftChars="229" w:left="481" w:firstLineChars="20" w:firstLine="72"/>
        <w:jc w:val="center"/>
        <w:rPr>
          <w:rFonts w:ascii="宋体" w:hAnsi="宋体"/>
          <w:b/>
          <w:spacing w:val="20"/>
          <w:sz w:val="32"/>
          <w:szCs w:val="32"/>
        </w:rPr>
      </w:pPr>
    </w:p>
    <w:p w14:paraId="72D2B237" w14:textId="77777777" w:rsidR="00530312" w:rsidRDefault="00530312">
      <w:pPr>
        <w:spacing w:line="360" w:lineRule="auto"/>
        <w:ind w:leftChars="229" w:left="481" w:firstLineChars="20" w:firstLine="72"/>
        <w:jc w:val="center"/>
        <w:rPr>
          <w:rFonts w:ascii="宋体" w:hAnsi="宋体"/>
          <w:b/>
          <w:spacing w:val="20"/>
          <w:sz w:val="32"/>
          <w:szCs w:val="32"/>
        </w:rPr>
      </w:pPr>
    </w:p>
    <w:p w14:paraId="21416300" w14:textId="77777777" w:rsidR="00530312" w:rsidRDefault="00530312">
      <w:pPr>
        <w:spacing w:line="360" w:lineRule="auto"/>
        <w:ind w:leftChars="229" w:left="481" w:firstLineChars="20" w:firstLine="72"/>
        <w:jc w:val="center"/>
        <w:rPr>
          <w:rFonts w:ascii="宋体" w:hAnsi="宋体"/>
          <w:b/>
          <w:spacing w:val="20"/>
          <w:sz w:val="32"/>
          <w:szCs w:val="32"/>
        </w:rPr>
      </w:pPr>
    </w:p>
    <w:p w14:paraId="2F9DB909" w14:textId="77777777" w:rsidR="00530312" w:rsidRDefault="00530312">
      <w:pPr>
        <w:spacing w:line="360" w:lineRule="auto"/>
        <w:ind w:leftChars="229" w:left="481" w:firstLineChars="20" w:firstLine="72"/>
        <w:jc w:val="center"/>
        <w:rPr>
          <w:rFonts w:ascii="宋体" w:hAnsi="宋体"/>
          <w:b/>
          <w:spacing w:val="20"/>
          <w:sz w:val="32"/>
          <w:szCs w:val="32"/>
        </w:rPr>
      </w:pPr>
    </w:p>
    <w:p w14:paraId="454F981F" w14:textId="77777777" w:rsidR="00530312" w:rsidRDefault="00530312">
      <w:pPr>
        <w:spacing w:line="360" w:lineRule="auto"/>
        <w:ind w:leftChars="229" w:left="481" w:firstLineChars="20" w:firstLine="72"/>
        <w:jc w:val="center"/>
        <w:rPr>
          <w:rFonts w:ascii="宋体" w:hAnsi="宋体"/>
          <w:b/>
          <w:spacing w:val="20"/>
          <w:sz w:val="32"/>
          <w:szCs w:val="32"/>
        </w:rPr>
      </w:pPr>
    </w:p>
    <w:p w14:paraId="3C951409" w14:textId="77777777" w:rsidR="00530312" w:rsidRDefault="00530312">
      <w:pPr>
        <w:spacing w:line="360" w:lineRule="auto"/>
        <w:ind w:leftChars="229" w:left="481" w:firstLineChars="20" w:firstLine="72"/>
        <w:jc w:val="center"/>
        <w:rPr>
          <w:rFonts w:ascii="宋体" w:hAnsi="宋体"/>
          <w:b/>
          <w:spacing w:val="20"/>
          <w:sz w:val="32"/>
          <w:szCs w:val="32"/>
        </w:rPr>
      </w:pPr>
    </w:p>
    <w:p w14:paraId="4631AEF4" w14:textId="77777777" w:rsidR="00530312" w:rsidRDefault="00530312">
      <w:pPr>
        <w:spacing w:line="360" w:lineRule="auto"/>
        <w:rPr>
          <w:rFonts w:ascii="宋体" w:hAnsi="宋体"/>
          <w:b/>
          <w:spacing w:val="20"/>
          <w:sz w:val="32"/>
          <w:szCs w:val="32"/>
        </w:rPr>
      </w:pPr>
    </w:p>
    <w:p w14:paraId="663E46AA" w14:textId="77777777" w:rsidR="00530312" w:rsidRDefault="00530312">
      <w:pPr>
        <w:spacing w:line="360" w:lineRule="auto"/>
        <w:ind w:leftChars="229" w:left="481" w:firstLineChars="20" w:firstLine="72"/>
        <w:jc w:val="center"/>
        <w:rPr>
          <w:rFonts w:ascii="宋体" w:hAnsi="宋体"/>
          <w:b/>
          <w:spacing w:val="20"/>
          <w:sz w:val="32"/>
          <w:szCs w:val="32"/>
        </w:rPr>
      </w:pPr>
    </w:p>
    <w:p w14:paraId="761CE741" w14:textId="77777777" w:rsidR="00530312" w:rsidRDefault="005170F5">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14:paraId="1D724E9B" w14:textId="301DA94A" w:rsidR="00530312" w:rsidRDefault="005170F5">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2025年6月</w:t>
      </w:r>
      <w:r w:rsidR="0090211E">
        <w:rPr>
          <w:rFonts w:ascii="方正小标宋_GBK" w:eastAsia="方正小标宋_GBK" w:hAnsi="宋体" w:hint="eastAsia"/>
          <w:b/>
          <w:sz w:val="32"/>
          <w:szCs w:val="32"/>
        </w:rPr>
        <w:t>23</w:t>
      </w:r>
      <w:r>
        <w:rPr>
          <w:rFonts w:ascii="方正小标宋_GBK" w:eastAsia="方正小标宋_GBK" w:hAnsi="宋体" w:hint="eastAsia"/>
          <w:b/>
          <w:sz w:val="32"/>
          <w:szCs w:val="32"/>
        </w:rPr>
        <w:t>日</w:t>
      </w:r>
    </w:p>
    <w:p w14:paraId="408E361F" w14:textId="77777777" w:rsidR="00530312" w:rsidRDefault="00530312">
      <w:pPr>
        <w:spacing w:line="360" w:lineRule="auto"/>
        <w:rPr>
          <w:rFonts w:ascii="方正小标宋_GBK" w:eastAsia="方正小标宋_GBK" w:hAnsi="宋体"/>
          <w:b/>
          <w:sz w:val="28"/>
          <w:szCs w:val="28"/>
        </w:rPr>
      </w:pPr>
    </w:p>
    <w:p w14:paraId="74F2BF1B" w14:textId="77777777" w:rsidR="00530312" w:rsidRDefault="00530312">
      <w:pPr>
        <w:spacing w:line="360" w:lineRule="auto"/>
        <w:rPr>
          <w:rFonts w:ascii="方正小标宋_GBK" w:eastAsia="方正小标宋_GBK" w:hAnsi="宋体"/>
          <w:b/>
          <w:sz w:val="28"/>
          <w:szCs w:val="28"/>
        </w:rPr>
      </w:pPr>
    </w:p>
    <w:p w14:paraId="037ABB1B" w14:textId="77777777" w:rsidR="00530312" w:rsidRDefault="00530312">
      <w:pPr>
        <w:spacing w:line="440" w:lineRule="exact"/>
        <w:jc w:val="center"/>
        <w:rPr>
          <w:rFonts w:ascii="宋体" w:hAnsi="宋体"/>
          <w:b/>
          <w:bCs/>
          <w:sz w:val="32"/>
          <w:szCs w:val="32"/>
        </w:rPr>
      </w:pPr>
    </w:p>
    <w:p w14:paraId="0D751BD5" w14:textId="77777777" w:rsidR="00530312" w:rsidRDefault="005170F5">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14:paraId="409CAEA3" w14:textId="77777777" w:rsidR="00530312" w:rsidRDefault="00530312">
      <w:pPr>
        <w:spacing w:line="440" w:lineRule="exact"/>
        <w:rPr>
          <w:rFonts w:ascii="宋体" w:hAnsi="宋体"/>
          <w:b/>
          <w:bCs/>
          <w:sz w:val="28"/>
          <w:szCs w:val="28"/>
        </w:rPr>
      </w:pPr>
    </w:p>
    <w:p w14:paraId="3622EF1B"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14:paraId="50538548" w14:textId="5535EFAF" w:rsidR="00530312" w:rsidRDefault="005170F5">
      <w:pPr>
        <w:spacing w:line="440" w:lineRule="exact"/>
        <w:ind w:firstLineChars="200" w:firstLine="480"/>
        <w:rPr>
          <w:rFonts w:ascii="宋体" w:hAnsi="宋体"/>
          <w:color w:val="000000"/>
          <w:sz w:val="24"/>
        </w:rPr>
      </w:pPr>
      <w:r>
        <w:rPr>
          <w:rFonts w:ascii="宋体" w:hAnsi="宋体" w:hint="eastAsia"/>
          <w:color w:val="000000"/>
          <w:sz w:val="24"/>
        </w:rPr>
        <w:t>数据中台建设项目（编号：</w:t>
      </w:r>
      <w:r w:rsidR="0034731A">
        <w:rPr>
          <w:rFonts w:ascii="宋体" w:hAnsi="宋体" w:hint="eastAsia"/>
          <w:color w:val="000000"/>
          <w:sz w:val="24"/>
        </w:rPr>
        <w:t>20250613</w:t>
      </w:r>
      <w:r>
        <w:rPr>
          <w:rFonts w:ascii="宋体" w:hAnsi="宋体" w:hint="eastAsia"/>
          <w:color w:val="000000"/>
          <w:sz w:val="24"/>
        </w:rPr>
        <w:t>）</w:t>
      </w:r>
    </w:p>
    <w:p w14:paraId="7B911B98"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14:paraId="411E5DAF"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14:paraId="5115CDE3"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14:paraId="029360C8"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14:paraId="4EE17256"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14:paraId="5055531D"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14:paraId="1F94E52A"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14:paraId="09A2309B"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（二）特定资格条件</w:t>
      </w:r>
    </w:p>
    <w:p w14:paraId="045A8EAB"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1.为了保证售后服务的质量，投标人</w:t>
      </w:r>
      <w:r w:rsidRPr="005C4D95">
        <w:rPr>
          <w:rFonts w:ascii="宋体" w:hAnsi="宋体" w:hint="eastAsia"/>
          <w:color w:val="000000"/>
          <w:sz w:val="24"/>
        </w:rPr>
        <w:t>必须为川</w:t>
      </w:r>
      <w:proofErr w:type="gramStart"/>
      <w:r w:rsidRPr="005C4D95">
        <w:rPr>
          <w:rFonts w:ascii="宋体" w:hAnsi="宋体" w:hint="eastAsia"/>
          <w:color w:val="000000"/>
          <w:sz w:val="24"/>
        </w:rPr>
        <w:t>渝企业</w:t>
      </w:r>
      <w:proofErr w:type="gramEnd"/>
      <w:r w:rsidRPr="005C4D95">
        <w:rPr>
          <w:rFonts w:ascii="宋体" w:hAnsi="宋体" w:hint="eastAsia"/>
          <w:color w:val="000000"/>
          <w:sz w:val="24"/>
        </w:rPr>
        <w:t>或在川</w:t>
      </w:r>
      <w:proofErr w:type="gramStart"/>
      <w:r w:rsidRPr="005C4D95">
        <w:rPr>
          <w:rFonts w:ascii="宋体" w:hAnsi="宋体" w:hint="eastAsia"/>
          <w:color w:val="000000"/>
          <w:sz w:val="24"/>
        </w:rPr>
        <w:t>渝</w:t>
      </w:r>
      <w:proofErr w:type="gramEnd"/>
      <w:r w:rsidRPr="005C4D95">
        <w:rPr>
          <w:rFonts w:ascii="宋体" w:hAnsi="宋体" w:hint="eastAsia"/>
          <w:color w:val="000000"/>
          <w:sz w:val="24"/>
        </w:rPr>
        <w:t>两地设有常年办事处及售后服务机构。</w:t>
      </w:r>
    </w:p>
    <w:p w14:paraId="41DB5A71"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2.企业注册资金不低于50万，本项目不接受联合体投标。</w:t>
      </w:r>
    </w:p>
    <w:p w14:paraId="429F4418"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14:paraId="55471928"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14:paraId="39C80278"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14:paraId="3FDEC36A"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14:paraId="6A4A2CD8"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w:t>
      </w:r>
      <w:proofErr w:type="gramStart"/>
      <w:r>
        <w:rPr>
          <w:rFonts w:ascii="宋体" w:hAnsi="宋体" w:hint="eastAsia"/>
          <w:color w:val="000000"/>
          <w:sz w:val="24"/>
        </w:rPr>
        <w:t>谈文件</w:t>
      </w:r>
      <w:proofErr w:type="gramEnd"/>
      <w:r>
        <w:rPr>
          <w:rFonts w:ascii="宋体" w:hAnsi="宋体" w:hint="eastAsia"/>
          <w:color w:val="000000"/>
          <w:sz w:val="24"/>
        </w:rPr>
        <w:t>要注明工期及质保时间，售后服务响应时间。</w:t>
      </w:r>
    </w:p>
    <w:p w14:paraId="5CFCA962" w14:textId="77777777" w:rsidR="00530312" w:rsidRDefault="005170F5">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w:t>
      </w:r>
      <w:proofErr w:type="gramStart"/>
      <w:r>
        <w:rPr>
          <w:rFonts w:ascii="宋体" w:hAnsi="宋体" w:hint="eastAsia"/>
          <w:color w:val="000000"/>
          <w:sz w:val="24"/>
        </w:rPr>
        <w:t>谈文件</w:t>
      </w:r>
      <w:proofErr w:type="gramEnd"/>
      <w:r>
        <w:rPr>
          <w:rFonts w:ascii="宋体" w:hAnsi="宋体" w:hint="eastAsia"/>
          <w:color w:val="000000"/>
          <w:sz w:val="24"/>
        </w:rPr>
        <w:t>一式两份，一正一副。</w:t>
      </w:r>
    </w:p>
    <w:p w14:paraId="0384421E"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 xml:space="preserve">四、项目技术参数、数量及质量要求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2"/>
      </w:tblGrid>
      <w:tr w:rsidR="00530312" w14:paraId="18A33D68" w14:textId="77777777">
        <w:trPr>
          <w:trHeight w:val="6960"/>
        </w:trPr>
        <w:tc>
          <w:tcPr>
            <w:tcW w:w="9962" w:type="dxa"/>
          </w:tcPr>
          <w:p w14:paraId="734F1760" w14:textId="77777777" w:rsidR="00530312" w:rsidRDefault="005170F5">
            <w:pPr>
              <w:spacing w:line="360" w:lineRule="auto"/>
              <w:rPr>
                <w:rFonts w:ascii="黑体" w:eastAsia="黑体" w:hAnsi="黑体" w:cs="黑体"/>
                <w:b/>
                <w:bCs/>
                <w:sz w:val="24"/>
              </w:rPr>
            </w:pPr>
            <w:r>
              <w:rPr>
                <w:rFonts w:ascii="黑体" w:eastAsia="黑体" w:hAnsi="黑体" w:cs="黑体" w:hint="eastAsia"/>
                <w:b/>
                <w:bCs/>
                <w:sz w:val="24"/>
              </w:rPr>
              <w:lastRenderedPageBreak/>
              <w:t>一、可行性要求</w:t>
            </w:r>
          </w:p>
          <w:p w14:paraId="69CB29CD" w14:textId="77777777" w:rsidR="00530312" w:rsidRDefault="005170F5">
            <w:pPr>
              <w:spacing w:line="360" w:lineRule="auto"/>
              <w:rPr>
                <w:rFonts w:ascii="黑体" w:eastAsia="黑体" w:hAnsi="黑体" w:cs="黑体"/>
                <w:b/>
                <w:bCs/>
                <w:sz w:val="24"/>
              </w:rPr>
            </w:pPr>
            <w:r>
              <w:rPr>
                <w:rFonts w:ascii="黑体" w:eastAsia="黑体" w:hAnsi="黑体" w:cs="黑体" w:hint="eastAsia"/>
                <w:b/>
                <w:bCs/>
                <w:sz w:val="24"/>
              </w:rPr>
              <w:t>（一）、技术可行性要求</w:t>
            </w:r>
          </w:p>
          <w:p w14:paraId="336F2A40"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1.技术成熟度要求</w:t>
            </w: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10" w:type="dxa"/>
                <w:left w:w="10" w:type="dxa"/>
                <w:bottom w:w="10" w:type="dxa"/>
                <w:right w:w="10" w:type="dxa"/>
              </w:tblCellMar>
              <w:tblLook w:val="04A0" w:firstRow="1" w:lastRow="0" w:firstColumn="1" w:lastColumn="0" w:noHBand="0" w:noVBand="1"/>
            </w:tblPr>
            <w:tblGrid>
              <w:gridCol w:w="1745"/>
              <w:gridCol w:w="7768"/>
            </w:tblGrid>
            <w:tr w:rsidR="00530312" w14:paraId="118ECB42" w14:textId="77777777">
              <w:trPr>
                <w:trHeight w:val="472"/>
              </w:trPr>
              <w:tc>
                <w:tcPr>
                  <w:tcW w:w="1745"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6DEFF57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技术模块</w:t>
                  </w:r>
                </w:p>
              </w:tc>
              <w:tc>
                <w:tcPr>
                  <w:tcW w:w="7768"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60E985F6"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技术方案</w:t>
                  </w:r>
                </w:p>
              </w:tc>
            </w:tr>
            <w:tr w:rsidR="00530312" w14:paraId="19B5D4B1" w14:textId="77777777">
              <w:trPr>
                <w:trHeight w:val="530"/>
              </w:trPr>
              <w:tc>
                <w:tcPr>
                  <w:tcW w:w="1745"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206529D5" w14:textId="77777777" w:rsidR="00530312" w:rsidRDefault="005170F5">
                  <w:pPr>
                    <w:spacing w:before="30" w:after="90" w:line="360" w:lineRule="auto"/>
                    <w:ind w:left="60"/>
                    <w:jc w:val="center"/>
                    <w:rPr>
                      <w:rFonts w:ascii="黑体" w:eastAsia="黑体" w:hAnsi="黑体" w:cs="黑体"/>
                      <w:sz w:val="24"/>
                    </w:rPr>
                  </w:pPr>
                  <w:proofErr w:type="gramStart"/>
                  <w:r>
                    <w:rPr>
                      <w:rFonts w:ascii="黑体" w:eastAsia="黑体" w:hAnsi="黑体" w:cs="黑体" w:hint="eastAsia"/>
                      <w:b/>
                      <w:sz w:val="24"/>
                    </w:rPr>
                    <w:t>一网通办</w:t>
                  </w:r>
                  <w:proofErr w:type="gramEnd"/>
                </w:p>
              </w:tc>
              <w:tc>
                <w:tcPr>
                  <w:tcW w:w="7768"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22C7C5BB" w14:textId="77777777" w:rsidR="00530312" w:rsidRDefault="005170F5">
                  <w:pPr>
                    <w:spacing w:before="30" w:after="90" w:line="360" w:lineRule="auto"/>
                    <w:ind w:left="60"/>
                    <w:jc w:val="left"/>
                    <w:rPr>
                      <w:rFonts w:ascii="黑体" w:eastAsia="黑体" w:hAnsi="黑体" w:cs="黑体"/>
                      <w:sz w:val="24"/>
                    </w:rPr>
                  </w:pPr>
                  <w:r>
                    <w:rPr>
                      <w:rFonts w:ascii="黑体" w:eastAsia="黑体" w:hAnsi="黑体" w:cs="黑体" w:hint="eastAsia"/>
                      <w:sz w:val="24"/>
                    </w:rPr>
                    <w:t>基于Spring Cloud</w:t>
                  </w:r>
                  <w:proofErr w:type="gramStart"/>
                  <w:r>
                    <w:rPr>
                      <w:rFonts w:ascii="黑体" w:eastAsia="黑体" w:hAnsi="黑体" w:cs="黑体" w:hint="eastAsia"/>
                      <w:sz w:val="24"/>
                    </w:rPr>
                    <w:t>微服务</w:t>
                  </w:r>
                  <w:proofErr w:type="gramEnd"/>
                  <w:r>
                    <w:rPr>
                      <w:rFonts w:ascii="黑体" w:eastAsia="黑体" w:hAnsi="黑体" w:cs="黑体" w:hint="eastAsia"/>
                      <w:sz w:val="24"/>
                    </w:rPr>
                    <w:t>架构，集成工作流引擎、消息中心、低代码平台。</w:t>
                  </w:r>
                </w:p>
              </w:tc>
            </w:tr>
            <w:tr w:rsidR="00530312" w14:paraId="52D392FA" w14:textId="77777777">
              <w:tc>
                <w:tcPr>
                  <w:tcW w:w="1745"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732D06BB" w14:textId="77777777" w:rsidR="00530312" w:rsidRDefault="005170F5">
                  <w:pPr>
                    <w:spacing w:before="30" w:after="90" w:line="360" w:lineRule="auto"/>
                    <w:ind w:left="60"/>
                    <w:jc w:val="center"/>
                    <w:rPr>
                      <w:rFonts w:ascii="黑体" w:eastAsia="黑体" w:hAnsi="黑体" w:cs="黑体"/>
                      <w:sz w:val="24"/>
                    </w:rPr>
                  </w:pPr>
                  <w:r>
                    <w:rPr>
                      <w:rFonts w:ascii="黑体" w:eastAsia="黑体" w:hAnsi="黑体" w:cs="黑体" w:hint="eastAsia"/>
                      <w:b/>
                      <w:sz w:val="24"/>
                    </w:rPr>
                    <w:t>统一身份认证</w:t>
                  </w:r>
                </w:p>
              </w:tc>
              <w:tc>
                <w:tcPr>
                  <w:tcW w:w="7768"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071E7A24" w14:textId="77777777" w:rsidR="00530312" w:rsidRDefault="005170F5">
                  <w:pPr>
                    <w:spacing w:before="30" w:after="90" w:line="360" w:lineRule="auto"/>
                    <w:ind w:left="60"/>
                    <w:jc w:val="left"/>
                    <w:rPr>
                      <w:rFonts w:ascii="黑体" w:eastAsia="黑体" w:hAnsi="黑体" w:cs="黑体"/>
                      <w:sz w:val="24"/>
                    </w:rPr>
                  </w:pPr>
                  <w:r>
                    <w:rPr>
                      <w:rFonts w:ascii="黑体" w:eastAsia="黑体" w:hAnsi="黑体" w:cs="黑体" w:hint="eastAsia"/>
                      <w:sz w:val="24"/>
                    </w:rPr>
                    <w:t>采用CAS、OAuth 2.0、LDAP协议，支持多因子认证。</w:t>
                  </w:r>
                </w:p>
              </w:tc>
            </w:tr>
            <w:tr w:rsidR="00530312" w14:paraId="444A14EA" w14:textId="77777777">
              <w:trPr>
                <w:trHeight w:val="569"/>
              </w:trPr>
              <w:tc>
                <w:tcPr>
                  <w:tcW w:w="1745"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616A9CF2" w14:textId="77777777" w:rsidR="00530312" w:rsidRDefault="005170F5">
                  <w:pPr>
                    <w:spacing w:before="30" w:after="90" w:line="360" w:lineRule="auto"/>
                    <w:ind w:left="60"/>
                    <w:jc w:val="center"/>
                    <w:rPr>
                      <w:rFonts w:ascii="黑体" w:eastAsia="黑体" w:hAnsi="黑体" w:cs="黑体"/>
                      <w:sz w:val="24"/>
                    </w:rPr>
                  </w:pPr>
                  <w:r>
                    <w:rPr>
                      <w:rFonts w:ascii="黑体" w:eastAsia="黑体" w:hAnsi="黑体" w:cs="黑体" w:hint="eastAsia"/>
                      <w:b/>
                      <w:sz w:val="24"/>
                    </w:rPr>
                    <w:t>数据中台</w:t>
                  </w:r>
                </w:p>
              </w:tc>
              <w:tc>
                <w:tcPr>
                  <w:tcW w:w="7768"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1712DEF0" w14:textId="77777777" w:rsidR="00530312" w:rsidRDefault="005170F5">
                  <w:pPr>
                    <w:spacing w:before="30" w:after="90" w:line="360" w:lineRule="auto"/>
                    <w:ind w:left="60"/>
                    <w:jc w:val="left"/>
                    <w:rPr>
                      <w:rFonts w:ascii="黑体" w:eastAsia="黑体" w:hAnsi="黑体" w:cs="黑体"/>
                      <w:sz w:val="24"/>
                    </w:rPr>
                  </w:pPr>
                  <w:proofErr w:type="gramStart"/>
                  <w:r>
                    <w:rPr>
                      <w:rFonts w:ascii="黑体" w:eastAsia="黑体" w:hAnsi="黑体" w:cs="黑体" w:hint="eastAsia"/>
                      <w:sz w:val="24"/>
                    </w:rPr>
                    <w:t>湖仓一体化</w:t>
                  </w:r>
                  <w:proofErr w:type="gramEnd"/>
                  <w:r>
                    <w:rPr>
                      <w:rFonts w:ascii="黑体" w:eastAsia="黑体" w:hAnsi="黑体" w:cs="黑体" w:hint="eastAsia"/>
                      <w:sz w:val="24"/>
                    </w:rPr>
                    <w:t>数据资产管理，</w:t>
                  </w:r>
                  <w:proofErr w:type="gramStart"/>
                  <w:r>
                    <w:rPr>
                      <w:rFonts w:ascii="黑体" w:eastAsia="黑体" w:hAnsi="黑体" w:cs="黑体" w:hint="eastAsia"/>
                      <w:sz w:val="24"/>
                    </w:rPr>
                    <w:t>批流一体化</w:t>
                  </w:r>
                  <w:proofErr w:type="gramEnd"/>
                  <w:r>
                    <w:rPr>
                      <w:rFonts w:ascii="黑体" w:eastAsia="黑体" w:hAnsi="黑体" w:cs="黑体" w:hint="eastAsia"/>
                      <w:sz w:val="24"/>
                    </w:rPr>
                    <w:t>数据同步，支持数据实时计算和批量计算。</w:t>
                  </w:r>
                </w:p>
              </w:tc>
            </w:tr>
            <w:tr w:rsidR="00530312" w14:paraId="27D00349" w14:textId="77777777">
              <w:trPr>
                <w:trHeight w:val="877"/>
              </w:trPr>
              <w:tc>
                <w:tcPr>
                  <w:tcW w:w="1745"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223EAF82" w14:textId="77777777" w:rsidR="00530312" w:rsidRDefault="005170F5">
                  <w:pPr>
                    <w:spacing w:before="30" w:after="90" w:line="360" w:lineRule="auto"/>
                    <w:ind w:left="60"/>
                    <w:jc w:val="center"/>
                    <w:rPr>
                      <w:rFonts w:ascii="黑体" w:eastAsia="黑体" w:hAnsi="黑体" w:cs="黑体"/>
                      <w:sz w:val="24"/>
                    </w:rPr>
                  </w:pPr>
                  <w:r>
                    <w:rPr>
                      <w:rFonts w:ascii="黑体" w:eastAsia="黑体" w:hAnsi="黑体" w:cs="黑体" w:hint="eastAsia"/>
                      <w:b/>
                      <w:sz w:val="24"/>
                    </w:rPr>
                    <w:t>平台对接</w:t>
                  </w:r>
                </w:p>
              </w:tc>
              <w:tc>
                <w:tcPr>
                  <w:tcW w:w="7768" w:type="dxa"/>
                  <w:tcBorders>
                    <w:top w:val="single" w:sz="2" w:space="0" w:color="808080"/>
                    <w:left w:val="single" w:sz="2" w:space="0" w:color="808080"/>
                    <w:bottom w:val="single" w:sz="2" w:space="0" w:color="808080"/>
                    <w:right w:val="single" w:sz="2" w:space="0" w:color="808080"/>
                    <w:tl2br w:val="nil"/>
                    <w:tr2bl w:val="nil"/>
                  </w:tcBorders>
                  <w:shd w:val="clear" w:color="auto" w:fill="auto"/>
                  <w:vAlign w:val="center"/>
                </w:tcPr>
                <w:p w14:paraId="0D78ECCA" w14:textId="77777777" w:rsidR="00530312" w:rsidRDefault="005170F5">
                  <w:pPr>
                    <w:spacing w:before="30" w:after="90" w:line="360" w:lineRule="auto"/>
                    <w:ind w:left="60"/>
                    <w:jc w:val="left"/>
                    <w:rPr>
                      <w:rFonts w:ascii="黑体" w:eastAsia="黑体" w:hAnsi="黑体" w:cs="黑体"/>
                      <w:sz w:val="24"/>
                    </w:rPr>
                  </w:pPr>
                  <w:r>
                    <w:rPr>
                      <w:rFonts w:ascii="黑体" w:eastAsia="黑体" w:hAnsi="黑体" w:cs="黑体" w:hint="eastAsia"/>
                      <w:sz w:val="24"/>
                    </w:rPr>
                    <w:t xml:space="preserve">数据中台与教育部智慧大脑restful </w:t>
                  </w:r>
                  <w:proofErr w:type="spellStart"/>
                  <w:r>
                    <w:rPr>
                      <w:rFonts w:ascii="黑体" w:eastAsia="黑体" w:hAnsi="黑体" w:cs="黑体" w:hint="eastAsia"/>
                      <w:sz w:val="24"/>
                    </w:rPr>
                    <w:t>api</w:t>
                  </w:r>
                  <w:proofErr w:type="spellEnd"/>
                  <w:r>
                    <w:rPr>
                      <w:rFonts w:ascii="黑体" w:eastAsia="黑体" w:hAnsi="黑体" w:cs="黑体" w:hint="eastAsia"/>
                      <w:sz w:val="24"/>
                    </w:rPr>
                    <w:t>适配。</w:t>
                  </w:r>
                </w:p>
              </w:tc>
            </w:tr>
          </w:tbl>
          <w:p w14:paraId="0CB6CE0D"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2. 技术适配性</w:t>
            </w:r>
          </w:p>
          <w:p w14:paraId="66C07138"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现有系统兼容：</w:t>
            </w:r>
          </w:p>
          <w:p w14:paraId="4F8C811B"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（1）10余个业务系统，认证接口集成可控在60天内。</w:t>
            </w:r>
          </w:p>
          <w:p w14:paraId="69DB28CC"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（2）数据通过中间</w:t>
            </w:r>
            <w:proofErr w:type="gramStart"/>
            <w:r>
              <w:rPr>
                <w:rFonts w:ascii="黑体" w:eastAsia="黑体" w:hAnsi="黑体" w:cs="黑体" w:hint="eastAsia"/>
                <w:sz w:val="24"/>
              </w:rPr>
              <w:t>库方式</w:t>
            </w:r>
            <w:proofErr w:type="gramEnd"/>
            <w:r>
              <w:rPr>
                <w:rFonts w:ascii="黑体" w:eastAsia="黑体" w:hAnsi="黑体" w:cs="黑体" w:hint="eastAsia"/>
                <w:sz w:val="24"/>
              </w:rPr>
              <w:t xml:space="preserve">对接，开发周期可控（2周1个系统）。 </w:t>
            </w:r>
          </w:p>
          <w:p w14:paraId="2E8D2786"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3.技术风险控制</w:t>
            </w:r>
          </w:p>
          <w:p w14:paraId="7ECF3C22"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（1）具有可控的容灾备份方案（</w:t>
            </w:r>
            <w:proofErr w:type="spellStart"/>
            <w:r>
              <w:rPr>
                <w:rFonts w:ascii="黑体" w:eastAsia="黑体" w:hAnsi="黑体" w:cs="黑体" w:hint="eastAsia"/>
                <w:sz w:val="24"/>
              </w:rPr>
              <w:t>RPO</w:t>
            </w:r>
            <w:proofErr w:type="spellEnd"/>
            <w:r>
              <w:rPr>
                <w:rFonts w:ascii="黑体" w:eastAsia="黑体" w:hAnsi="黑体" w:cs="黑体" w:hint="eastAsia"/>
                <w:sz w:val="24"/>
              </w:rPr>
              <w:t xml:space="preserve">≤15分钟，RTO≤1小时）。 </w:t>
            </w:r>
          </w:p>
          <w:p w14:paraId="53410193"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（2）预留20%</w:t>
            </w:r>
            <w:proofErr w:type="gramStart"/>
            <w:r>
              <w:rPr>
                <w:rFonts w:ascii="黑体" w:eastAsia="黑体" w:hAnsi="黑体" w:cs="黑体" w:hint="eastAsia"/>
                <w:sz w:val="24"/>
              </w:rPr>
              <w:t>算力冗余</w:t>
            </w:r>
            <w:proofErr w:type="gramEnd"/>
            <w:r>
              <w:rPr>
                <w:rFonts w:ascii="黑体" w:eastAsia="黑体" w:hAnsi="黑体" w:cs="黑体" w:hint="eastAsia"/>
                <w:sz w:val="24"/>
              </w:rPr>
              <w:t>应对业务峰值（如迎新季10倍流量增长）。</w:t>
            </w:r>
          </w:p>
          <w:p w14:paraId="1FFE9F2D" w14:textId="77777777" w:rsidR="00530312" w:rsidRDefault="005170F5">
            <w:pPr>
              <w:spacing w:line="360" w:lineRule="auto"/>
              <w:rPr>
                <w:rFonts w:ascii="黑体" w:eastAsia="黑体" w:hAnsi="黑体" w:cs="黑体"/>
                <w:b/>
                <w:bCs/>
                <w:sz w:val="24"/>
              </w:rPr>
            </w:pPr>
            <w:bookmarkStart w:id="0" w:name="OLE_LINK3"/>
            <w:r>
              <w:rPr>
                <w:rFonts w:ascii="黑体" w:eastAsia="黑体" w:hAnsi="黑体" w:cs="黑体" w:hint="eastAsia"/>
                <w:b/>
                <w:bCs/>
                <w:sz w:val="24"/>
              </w:rPr>
              <w:t>（二）、实施能力要求</w:t>
            </w:r>
          </w:p>
          <w:p w14:paraId="5BD3081F"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（1）实施公司需持有</w:t>
            </w:r>
            <w:proofErr w:type="spellStart"/>
            <w:r>
              <w:rPr>
                <w:rFonts w:ascii="黑体" w:eastAsia="黑体" w:hAnsi="黑体" w:cs="黑体" w:hint="eastAsia"/>
                <w:sz w:val="24"/>
              </w:rPr>
              <w:t>PMP</w:t>
            </w:r>
            <w:proofErr w:type="spellEnd"/>
            <w:r>
              <w:rPr>
                <w:rFonts w:ascii="黑体" w:eastAsia="黑体" w:hAnsi="黑体" w:cs="黑体" w:hint="eastAsia"/>
                <w:sz w:val="24"/>
              </w:rPr>
              <w:t xml:space="preserve">/信息系统项目管理师等证书。 </w:t>
            </w:r>
          </w:p>
          <w:p w14:paraId="3B85F7FC"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（2）重庆地区已成功实施数据中</w:t>
            </w:r>
            <w:proofErr w:type="gramStart"/>
            <w:r>
              <w:rPr>
                <w:rFonts w:ascii="黑体" w:eastAsia="黑体" w:hAnsi="黑体" w:cs="黑体" w:hint="eastAsia"/>
                <w:sz w:val="24"/>
              </w:rPr>
              <w:t>台项目</w:t>
            </w:r>
            <w:proofErr w:type="gramEnd"/>
            <w:r>
              <w:rPr>
                <w:rFonts w:ascii="黑体" w:eastAsia="黑体" w:hAnsi="黑体" w:cs="黑体" w:hint="eastAsia"/>
                <w:sz w:val="24"/>
              </w:rPr>
              <w:t>不小于3个。</w:t>
            </w:r>
          </w:p>
          <w:bookmarkEnd w:id="0"/>
          <w:p w14:paraId="0DFC4D7D" w14:textId="77777777" w:rsidR="00530312" w:rsidRDefault="005170F5">
            <w:pPr>
              <w:spacing w:line="360" w:lineRule="auto"/>
              <w:rPr>
                <w:rFonts w:ascii="黑体" w:eastAsia="黑体" w:hAnsi="黑体" w:cs="黑体"/>
                <w:b/>
                <w:bCs/>
                <w:sz w:val="24"/>
              </w:rPr>
            </w:pPr>
            <w:r>
              <w:rPr>
                <w:rFonts w:ascii="黑体" w:eastAsia="黑体" w:hAnsi="黑体" w:cs="黑体" w:hint="eastAsia"/>
                <w:b/>
                <w:bCs/>
                <w:sz w:val="24"/>
              </w:rPr>
              <w:t>（三）、法律合</w:t>
            </w:r>
            <w:proofErr w:type="gramStart"/>
            <w:r>
              <w:rPr>
                <w:rFonts w:ascii="黑体" w:eastAsia="黑体" w:hAnsi="黑体" w:cs="黑体" w:hint="eastAsia"/>
                <w:b/>
                <w:bCs/>
                <w:sz w:val="24"/>
              </w:rPr>
              <w:t>规</w:t>
            </w:r>
            <w:proofErr w:type="gramEnd"/>
            <w:r>
              <w:rPr>
                <w:rFonts w:ascii="黑体" w:eastAsia="黑体" w:hAnsi="黑体" w:cs="黑体" w:hint="eastAsia"/>
                <w:b/>
                <w:bCs/>
                <w:sz w:val="24"/>
              </w:rPr>
              <w:t>性要求</w:t>
            </w:r>
          </w:p>
          <w:p w14:paraId="070AA4C7"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1.数据安全合</w:t>
            </w:r>
            <w:proofErr w:type="gramStart"/>
            <w:r>
              <w:rPr>
                <w:rFonts w:ascii="黑体" w:eastAsia="黑体" w:hAnsi="黑体" w:cs="黑体" w:hint="eastAsia"/>
                <w:b/>
                <w:bCs/>
                <w:sz w:val="24"/>
              </w:rPr>
              <w:t>规</w:t>
            </w:r>
            <w:proofErr w:type="gramEnd"/>
          </w:p>
          <w:p w14:paraId="0B7CAE11"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（1）所建系统须</w:t>
            </w:r>
            <w:proofErr w:type="gramStart"/>
            <w:r>
              <w:rPr>
                <w:rFonts w:ascii="黑体" w:eastAsia="黑体" w:hAnsi="黑体" w:cs="黑体" w:hint="eastAsia"/>
                <w:sz w:val="24"/>
              </w:rPr>
              <w:t>通过等保</w:t>
            </w:r>
            <w:proofErr w:type="gramEnd"/>
            <w:r>
              <w:rPr>
                <w:rFonts w:ascii="黑体" w:eastAsia="黑体" w:hAnsi="黑体" w:cs="黑体" w:hint="eastAsia"/>
                <w:sz w:val="24"/>
              </w:rPr>
              <w:t>2.0</w:t>
            </w:r>
            <w:proofErr w:type="gramStart"/>
            <w:r>
              <w:rPr>
                <w:rFonts w:ascii="黑体" w:eastAsia="黑体" w:hAnsi="黑体" w:cs="黑体" w:hint="eastAsia"/>
                <w:sz w:val="24"/>
              </w:rPr>
              <w:t>二</w:t>
            </w:r>
            <w:proofErr w:type="gramEnd"/>
            <w:r>
              <w:rPr>
                <w:rFonts w:ascii="黑体" w:eastAsia="黑体" w:hAnsi="黑体" w:cs="黑体" w:hint="eastAsia"/>
                <w:sz w:val="24"/>
              </w:rPr>
              <w:t>级认证，采用</w:t>
            </w:r>
            <w:proofErr w:type="spellStart"/>
            <w:r>
              <w:rPr>
                <w:rFonts w:ascii="黑体" w:eastAsia="黑体" w:hAnsi="黑体" w:cs="黑体" w:hint="eastAsia"/>
                <w:sz w:val="24"/>
              </w:rPr>
              <w:t>SM4</w:t>
            </w:r>
            <w:proofErr w:type="spellEnd"/>
            <w:proofErr w:type="gramStart"/>
            <w:r>
              <w:rPr>
                <w:rFonts w:ascii="黑体" w:eastAsia="黑体" w:hAnsi="黑体" w:cs="黑体" w:hint="eastAsia"/>
                <w:sz w:val="24"/>
              </w:rPr>
              <w:t>国密算法</w:t>
            </w:r>
            <w:proofErr w:type="gramEnd"/>
            <w:r>
              <w:rPr>
                <w:rFonts w:ascii="黑体" w:eastAsia="黑体" w:hAnsi="黑体" w:cs="黑体" w:hint="eastAsia"/>
                <w:sz w:val="24"/>
              </w:rPr>
              <w:t xml:space="preserve">对数据加密。 </w:t>
            </w:r>
          </w:p>
          <w:p w14:paraId="561BDE3A"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 xml:space="preserve">（2）建立隐私计算平台，敏感数据“可用不可见”。 </w:t>
            </w:r>
          </w:p>
          <w:p w14:paraId="2E7B5E9C"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2.标准符合性</w:t>
            </w:r>
          </w:p>
          <w:tbl>
            <w:tblPr>
              <w:tblStyle w:val="ad"/>
              <w:tblW w:w="0" w:type="auto"/>
              <w:tblLayout w:type="fixed"/>
              <w:tblLook w:val="04A0" w:firstRow="1" w:lastRow="0" w:firstColumn="1" w:lastColumn="0" w:noHBand="0" w:noVBand="1"/>
            </w:tblPr>
            <w:tblGrid>
              <w:gridCol w:w="1589"/>
              <w:gridCol w:w="2495"/>
              <w:gridCol w:w="1553"/>
              <w:gridCol w:w="1800"/>
              <w:gridCol w:w="2299"/>
            </w:tblGrid>
            <w:tr w:rsidR="00530312" w14:paraId="65B453AF" w14:textId="77777777">
              <w:trPr>
                <w:trHeight w:val="343"/>
              </w:trPr>
              <w:tc>
                <w:tcPr>
                  <w:tcW w:w="1589" w:type="dxa"/>
                  <w:vAlign w:val="center"/>
                </w:tcPr>
                <w:p w14:paraId="4C6F47F3"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版本号</w:t>
                  </w:r>
                </w:p>
              </w:tc>
              <w:tc>
                <w:tcPr>
                  <w:tcW w:w="2495" w:type="dxa"/>
                  <w:vAlign w:val="center"/>
                </w:tcPr>
                <w:p w14:paraId="6FF8713A"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标准名称</w:t>
                  </w:r>
                </w:p>
              </w:tc>
              <w:tc>
                <w:tcPr>
                  <w:tcW w:w="1553" w:type="dxa"/>
                  <w:vAlign w:val="center"/>
                </w:tcPr>
                <w:p w14:paraId="2E2804D1"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发布时间</w:t>
                  </w:r>
                </w:p>
              </w:tc>
              <w:tc>
                <w:tcPr>
                  <w:tcW w:w="1800" w:type="dxa"/>
                  <w:vAlign w:val="center"/>
                </w:tcPr>
                <w:p w14:paraId="5637753E"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发布单位</w:t>
                  </w:r>
                </w:p>
              </w:tc>
              <w:tc>
                <w:tcPr>
                  <w:tcW w:w="2299" w:type="dxa"/>
                  <w:vAlign w:val="center"/>
                </w:tcPr>
                <w:p w14:paraId="08759A24"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用途</w:t>
                  </w:r>
                </w:p>
              </w:tc>
            </w:tr>
            <w:tr w:rsidR="00530312" w14:paraId="0FD2FD71" w14:textId="77777777">
              <w:tc>
                <w:tcPr>
                  <w:tcW w:w="1589" w:type="dxa"/>
                  <w:vAlign w:val="center"/>
                </w:tcPr>
                <w:p w14:paraId="0095FE4D"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1.3.0</w:t>
                  </w:r>
                </w:p>
              </w:tc>
              <w:tc>
                <w:tcPr>
                  <w:tcW w:w="2495" w:type="dxa"/>
                  <w:vAlign w:val="center"/>
                </w:tcPr>
                <w:p w14:paraId="30138FD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《阿里巴巴Java开发手册 终极版</w:t>
                  </w:r>
                  <w:proofErr w:type="spellStart"/>
                  <w:r>
                    <w:rPr>
                      <w:rFonts w:ascii="黑体" w:eastAsia="黑体" w:hAnsi="黑体" w:cs="黑体" w:hint="eastAsia"/>
                      <w:color w:val="000000"/>
                      <w:sz w:val="24"/>
                    </w:rPr>
                    <w:lastRenderedPageBreak/>
                    <w:t>v1.3.0.pdf</w:t>
                  </w:r>
                  <w:proofErr w:type="spellEnd"/>
                  <w:r>
                    <w:rPr>
                      <w:rFonts w:ascii="黑体" w:eastAsia="黑体" w:hAnsi="黑体" w:cs="黑体" w:hint="eastAsia"/>
                      <w:color w:val="000000"/>
                      <w:sz w:val="24"/>
                    </w:rPr>
                    <w:t>》</w:t>
                  </w:r>
                </w:p>
              </w:tc>
              <w:tc>
                <w:tcPr>
                  <w:tcW w:w="1553" w:type="dxa"/>
                  <w:vAlign w:val="center"/>
                </w:tcPr>
                <w:p w14:paraId="23928299"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lastRenderedPageBreak/>
                    <w:t>2017.09.25</w:t>
                  </w:r>
                </w:p>
              </w:tc>
              <w:tc>
                <w:tcPr>
                  <w:tcW w:w="1800" w:type="dxa"/>
                  <w:vAlign w:val="center"/>
                </w:tcPr>
                <w:p w14:paraId="6B8F0A82"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阿里巴巴集团技术团队</w:t>
                  </w:r>
                </w:p>
              </w:tc>
              <w:tc>
                <w:tcPr>
                  <w:tcW w:w="2299" w:type="dxa"/>
                  <w:vAlign w:val="center"/>
                </w:tcPr>
                <w:p w14:paraId="40AEFBC6"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技术开发时，Java代码规范。</w:t>
                  </w:r>
                </w:p>
              </w:tc>
            </w:tr>
            <w:tr w:rsidR="00530312" w14:paraId="1DBA3D26" w14:textId="77777777">
              <w:tc>
                <w:tcPr>
                  <w:tcW w:w="1589" w:type="dxa"/>
                  <w:vMerge w:val="restart"/>
                  <w:vAlign w:val="center"/>
                </w:tcPr>
                <w:p w14:paraId="6FD47CD2"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lastRenderedPageBreak/>
                    <w:t>教育部2012年</w:t>
                  </w:r>
                  <w:proofErr w:type="gramStart"/>
                  <w:r>
                    <w:rPr>
                      <w:rFonts w:ascii="黑体" w:eastAsia="黑体" w:hAnsi="黑体" w:cs="黑体" w:hint="eastAsia"/>
                      <w:color w:val="000000"/>
                      <w:sz w:val="24"/>
                    </w:rPr>
                    <w:t>发教育</w:t>
                  </w:r>
                  <w:proofErr w:type="gramEnd"/>
                  <w:r>
                    <w:rPr>
                      <w:rFonts w:ascii="黑体" w:eastAsia="黑体" w:hAnsi="黑体" w:cs="黑体" w:hint="eastAsia"/>
                      <w:color w:val="000000"/>
                      <w:sz w:val="24"/>
                    </w:rPr>
                    <w:t>信息化行业标准</w:t>
                  </w:r>
                </w:p>
              </w:tc>
              <w:tc>
                <w:tcPr>
                  <w:tcW w:w="2495" w:type="dxa"/>
                  <w:vAlign w:val="center"/>
                </w:tcPr>
                <w:p w14:paraId="2583964D"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w:t>
                  </w:r>
                  <w:proofErr w:type="spellStart"/>
                  <w:r>
                    <w:rPr>
                      <w:rFonts w:ascii="黑体" w:eastAsia="黑体" w:hAnsi="黑体" w:cs="黑体" w:hint="eastAsia"/>
                      <w:color w:val="000000"/>
                      <w:sz w:val="24"/>
                    </w:rPr>
                    <w:t>JYT1001</w:t>
                  </w:r>
                  <w:proofErr w:type="spellEnd"/>
                  <w:r>
                    <w:rPr>
                      <w:rFonts w:ascii="黑体" w:eastAsia="黑体" w:hAnsi="黑体" w:cs="黑体" w:hint="eastAsia"/>
                      <w:color w:val="000000"/>
                      <w:sz w:val="24"/>
                    </w:rPr>
                    <w:t>_教育管理基础代码》</w:t>
                  </w:r>
                </w:p>
              </w:tc>
              <w:tc>
                <w:tcPr>
                  <w:tcW w:w="1553" w:type="dxa"/>
                  <w:vAlign w:val="center"/>
                </w:tcPr>
                <w:p w14:paraId="76C119B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2012.03.15</w:t>
                  </w:r>
                </w:p>
              </w:tc>
              <w:tc>
                <w:tcPr>
                  <w:tcW w:w="1800" w:type="dxa"/>
                  <w:vAlign w:val="center"/>
                </w:tcPr>
                <w:p w14:paraId="672B6AAB"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中华人民共和国教育部</w:t>
                  </w:r>
                </w:p>
              </w:tc>
              <w:tc>
                <w:tcPr>
                  <w:tcW w:w="2299" w:type="dxa"/>
                  <w:vAlign w:val="center"/>
                </w:tcPr>
                <w:p w14:paraId="7B35999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教育部《教育信息化行业标准》，用于数据中心建设。</w:t>
                  </w:r>
                </w:p>
              </w:tc>
            </w:tr>
            <w:tr w:rsidR="00530312" w14:paraId="15DC457C" w14:textId="77777777">
              <w:tc>
                <w:tcPr>
                  <w:tcW w:w="1589" w:type="dxa"/>
                  <w:vMerge/>
                  <w:vAlign w:val="center"/>
                </w:tcPr>
                <w:p w14:paraId="3EA63FEB"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1CB271B9"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w:t>
                  </w:r>
                  <w:proofErr w:type="spellStart"/>
                  <w:r>
                    <w:rPr>
                      <w:rFonts w:ascii="黑体" w:eastAsia="黑体" w:hAnsi="黑体" w:cs="黑体" w:hint="eastAsia"/>
                      <w:color w:val="000000"/>
                      <w:sz w:val="24"/>
                    </w:rPr>
                    <w:t>JYT1002</w:t>
                  </w:r>
                  <w:proofErr w:type="spellEnd"/>
                  <w:r>
                    <w:rPr>
                      <w:rFonts w:ascii="黑体" w:eastAsia="黑体" w:hAnsi="黑体" w:cs="黑体" w:hint="eastAsia"/>
                      <w:color w:val="000000"/>
                      <w:sz w:val="24"/>
                    </w:rPr>
                    <w:t>_教育管理基础信息》</w:t>
                  </w:r>
                </w:p>
              </w:tc>
              <w:tc>
                <w:tcPr>
                  <w:tcW w:w="1553" w:type="dxa"/>
                  <w:vAlign w:val="center"/>
                </w:tcPr>
                <w:p w14:paraId="6BD33C8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2012.03.15</w:t>
                  </w:r>
                </w:p>
              </w:tc>
              <w:tc>
                <w:tcPr>
                  <w:tcW w:w="1800" w:type="dxa"/>
                  <w:vAlign w:val="center"/>
                </w:tcPr>
                <w:p w14:paraId="717DB4D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中华人民共和国教育部</w:t>
                  </w:r>
                </w:p>
              </w:tc>
              <w:tc>
                <w:tcPr>
                  <w:tcW w:w="2299" w:type="dxa"/>
                  <w:vAlign w:val="center"/>
                </w:tcPr>
                <w:p w14:paraId="701CEFA5"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教育部《教育信息化行业标准》，用于数据中心建设。</w:t>
                  </w:r>
                </w:p>
              </w:tc>
            </w:tr>
            <w:tr w:rsidR="00530312" w14:paraId="7B2022F6" w14:textId="77777777">
              <w:tc>
                <w:tcPr>
                  <w:tcW w:w="1589" w:type="dxa"/>
                  <w:vMerge/>
                  <w:vAlign w:val="center"/>
                </w:tcPr>
                <w:p w14:paraId="6AE79D9A"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1AA70DA2"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w:t>
                  </w:r>
                  <w:proofErr w:type="spellStart"/>
                  <w:r>
                    <w:rPr>
                      <w:rFonts w:ascii="黑体" w:eastAsia="黑体" w:hAnsi="黑体" w:cs="黑体" w:hint="eastAsia"/>
                      <w:color w:val="000000"/>
                      <w:sz w:val="24"/>
                    </w:rPr>
                    <w:t>JYT1003</w:t>
                  </w:r>
                  <w:proofErr w:type="spellEnd"/>
                  <w:r>
                    <w:rPr>
                      <w:rFonts w:ascii="黑体" w:eastAsia="黑体" w:hAnsi="黑体" w:cs="黑体" w:hint="eastAsia"/>
                      <w:color w:val="000000"/>
                      <w:sz w:val="24"/>
                    </w:rPr>
                    <w:t>_教育行政管理信息》</w:t>
                  </w:r>
                </w:p>
              </w:tc>
              <w:tc>
                <w:tcPr>
                  <w:tcW w:w="1553" w:type="dxa"/>
                  <w:vAlign w:val="center"/>
                </w:tcPr>
                <w:p w14:paraId="531A4296"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2012.03.15</w:t>
                  </w:r>
                </w:p>
              </w:tc>
              <w:tc>
                <w:tcPr>
                  <w:tcW w:w="1800" w:type="dxa"/>
                  <w:vAlign w:val="center"/>
                </w:tcPr>
                <w:p w14:paraId="5C01D4D1"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中华人民共和国教育部</w:t>
                  </w:r>
                </w:p>
              </w:tc>
              <w:tc>
                <w:tcPr>
                  <w:tcW w:w="2299" w:type="dxa"/>
                  <w:vAlign w:val="center"/>
                </w:tcPr>
                <w:p w14:paraId="15BFC00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教育部《教育信息化行业标准》，用于数据中心建设。</w:t>
                  </w:r>
                </w:p>
              </w:tc>
            </w:tr>
            <w:tr w:rsidR="00530312" w14:paraId="32396373" w14:textId="77777777">
              <w:tc>
                <w:tcPr>
                  <w:tcW w:w="1589" w:type="dxa"/>
                  <w:vMerge/>
                  <w:vAlign w:val="center"/>
                </w:tcPr>
                <w:p w14:paraId="693874EF"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1A38F39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w:t>
                  </w:r>
                  <w:proofErr w:type="spellStart"/>
                  <w:r>
                    <w:rPr>
                      <w:rFonts w:ascii="黑体" w:eastAsia="黑体" w:hAnsi="黑体" w:cs="黑体" w:hint="eastAsia"/>
                      <w:color w:val="000000"/>
                      <w:sz w:val="24"/>
                    </w:rPr>
                    <w:t>JYT1006</w:t>
                  </w:r>
                  <w:proofErr w:type="spellEnd"/>
                  <w:r>
                    <w:rPr>
                      <w:rFonts w:ascii="黑体" w:eastAsia="黑体" w:hAnsi="黑体" w:cs="黑体" w:hint="eastAsia"/>
                      <w:color w:val="000000"/>
                      <w:sz w:val="24"/>
                    </w:rPr>
                    <w:t>_高等学校管理信息》</w:t>
                  </w:r>
                </w:p>
              </w:tc>
              <w:tc>
                <w:tcPr>
                  <w:tcW w:w="1553" w:type="dxa"/>
                  <w:vAlign w:val="center"/>
                </w:tcPr>
                <w:p w14:paraId="1DF987A6"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2012.03.15</w:t>
                  </w:r>
                </w:p>
              </w:tc>
              <w:tc>
                <w:tcPr>
                  <w:tcW w:w="1800" w:type="dxa"/>
                  <w:vAlign w:val="center"/>
                </w:tcPr>
                <w:p w14:paraId="29D32658"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中华人民共和国教育部</w:t>
                  </w:r>
                </w:p>
              </w:tc>
              <w:tc>
                <w:tcPr>
                  <w:tcW w:w="2299" w:type="dxa"/>
                  <w:vAlign w:val="center"/>
                </w:tcPr>
                <w:p w14:paraId="72B5833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教育部《教育信息化行业标准》，用于数据中心建设。</w:t>
                  </w:r>
                </w:p>
              </w:tc>
            </w:tr>
            <w:tr w:rsidR="00530312" w14:paraId="44179A7B" w14:textId="77777777">
              <w:tc>
                <w:tcPr>
                  <w:tcW w:w="1589" w:type="dxa"/>
                  <w:vMerge/>
                  <w:vAlign w:val="center"/>
                </w:tcPr>
                <w:p w14:paraId="487A8997"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1E9F283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w:t>
                  </w:r>
                  <w:proofErr w:type="spellStart"/>
                  <w:r>
                    <w:rPr>
                      <w:rFonts w:ascii="黑体" w:eastAsia="黑体" w:hAnsi="黑体" w:cs="黑体" w:hint="eastAsia"/>
                      <w:color w:val="000000"/>
                      <w:sz w:val="24"/>
                    </w:rPr>
                    <w:t>JYT1007</w:t>
                  </w:r>
                  <w:proofErr w:type="spellEnd"/>
                  <w:r>
                    <w:rPr>
                      <w:rFonts w:ascii="黑体" w:eastAsia="黑体" w:hAnsi="黑体" w:cs="黑体" w:hint="eastAsia"/>
                      <w:color w:val="000000"/>
                      <w:sz w:val="24"/>
                    </w:rPr>
                    <w:t>_教育统计信息》</w:t>
                  </w:r>
                </w:p>
              </w:tc>
              <w:tc>
                <w:tcPr>
                  <w:tcW w:w="1553" w:type="dxa"/>
                  <w:vAlign w:val="center"/>
                </w:tcPr>
                <w:p w14:paraId="30CD9D7E"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2012.03.15</w:t>
                  </w:r>
                </w:p>
              </w:tc>
              <w:tc>
                <w:tcPr>
                  <w:tcW w:w="1800" w:type="dxa"/>
                  <w:vAlign w:val="center"/>
                </w:tcPr>
                <w:p w14:paraId="55EED9DC"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中华人民共和国教育部</w:t>
                  </w:r>
                </w:p>
              </w:tc>
              <w:tc>
                <w:tcPr>
                  <w:tcW w:w="2299" w:type="dxa"/>
                  <w:vAlign w:val="center"/>
                </w:tcPr>
                <w:p w14:paraId="09CBF85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教育部《教育信息化行业标准》，用于数据中心建设。</w:t>
                  </w:r>
                </w:p>
              </w:tc>
            </w:tr>
            <w:tr w:rsidR="00530312" w14:paraId="4EF4B256" w14:textId="77777777">
              <w:tc>
                <w:tcPr>
                  <w:tcW w:w="1589" w:type="dxa"/>
                  <w:vAlign w:val="center"/>
                </w:tcPr>
                <w:p w14:paraId="3B94920C"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GB/T 36342-2018</w:t>
                  </w:r>
                </w:p>
              </w:tc>
              <w:tc>
                <w:tcPr>
                  <w:tcW w:w="2495" w:type="dxa"/>
                  <w:vAlign w:val="center"/>
                </w:tcPr>
                <w:p w14:paraId="3B7DE5D4"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《智慧校园总体框架（</w:t>
                  </w:r>
                  <w:proofErr w:type="spellStart"/>
                  <w:r>
                    <w:rPr>
                      <w:rFonts w:ascii="黑体" w:eastAsia="黑体" w:hAnsi="黑体" w:cs="黑体" w:hint="eastAsia"/>
                      <w:color w:val="000000"/>
                      <w:sz w:val="24"/>
                    </w:rPr>
                    <w:t>GBT36342</w:t>
                  </w:r>
                  <w:proofErr w:type="spellEnd"/>
                  <w:r>
                    <w:rPr>
                      <w:rFonts w:ascii="黑体" w:eastAsia="黑体" w:hAnsi="黑体" w:cs="黑体" w:hint="eastAsia"/>
                      <w:color w:val="000000"/>
                      <w:sz w:val="24"/>
                    </w:rPr>
                    <w:t>-2018）》</w:t>
                  </w:r>
                </w:p>
              </w:tc>
              <w:tc>
                <w:tcPr>
                  <w:tcW w:w="1553" w:type="dxa"/>
                  <w:vAlign w:val="center"/>
                </w:tcPr>
                <w:p w14:paraId="79BC728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2018.06.07</w:t>
                  </w:r>
                </w:p>
              </w:tc>
              <w:tc>
                <w:tcPr>
                  <w:tcW w:w="1800" w:type="dxa"/>
                  <w:vAlign w:val="center"/>
                </w:tcPr>
                <w:p w14:paraId="17766A8B"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全国信息技术标准化技术委员会</w:t>
                  </w:r>
                </w:p>
              </w:tc>
              <w:tc>
                <w:tcPr>
                  <w:tcW w:w="2299" w:type="dxa"/>
                  <w:vAlign w:val="center"/>
                </w:tcPr>
                <w:p w14:paraId="57434753"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软件基础架构设计参考。</w:t>
                  </w:r>
                </w:p>
              </w:tc>
            </w:tr>
            <w:tr w:rsidR="00530312" w14:paraId="4288061D" w14:textId="77777777">
              <w:tc>
                <w:tcPr>
                  <w:tcW w:w="1589" w:type="dxa"/>
                  <w:vAlign w:val="center"/>
                </w:tcPr>
                <w:p w14:paraId="08873532"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20161230</w:t>
                  </w:r>
                </w:p>
              </w:tc>
              <w:tc>
                <w:tcPr>
                  <w:tcW w:w="2495" w:type="dxa"/>
                  <w:vAlign w:val="center"/>
                </w:tcPr>
                <w:p w14:paraId="14574DB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《重庆市智慧校园建设基本指南（试行）》</w:t>
                  </w:r>
                </w:p>
              </w:tc>
              <w:tc>
                <w:tcPr>
                  <w:tcW w:w="1553" w:type="dxa"/>
                  <w:vAlign w:val="center"/>
                </w:tcPr>
                <w:p w14:paraId="156165C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2016.12.30</w:t>
                  </w:r>
                </w:p>
              </w:tc>
              <w:tc>
                <w:tcPr>
                  <w:tcW w:w="1800" w:type="dxa"/>
                  <w:vAlign w:val="center"/>
                </w:tcPr>
                <w:p w14:paraId="028939AD"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重庆市教育委员会</w:t>
                  </w:r>
                </w:p>
              </w:tc>
              <w:tc>
                <w:tcPr>
                  <w:tcW w:w="2299" w:type="dxa"/>
                  <w:vAlign w:val="center"/>
                </w:tcPr>
                <w:p w14:paraId="04B47669"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软件基础架构设计参考。</w:t>
                  </w:r>
                </w:p>
              </w:tc>
            </w:tr>
            <w:tr w:rsidR="00530312" w14:paraId="251D9552" w14:textId="77777777">
              <w:trPr>
                <w:trHeight w:val="663"/>
              </w:trPr>
              <w:tc>
                <w:tcPr>
                  <w:tcW w:w="1589" w:type="dxa"/>
                  <w:vAlign w:val="center"/>
                </w:tcPr>
                <w:p w14:paraId="60624AFB"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GB/T 18894-2016</w:t>
                  </w:r>
                </w:p>
              </w:tc>
              <w:tc>
                <w:tcPr>
                  <w:tcW w:w="2495" w:type="dxa"/>
                  <w:vAlign w:val="center"/>
                </w:tcPr>
                <w:p w14:paraId="51A5FC6D"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《电子文件归档与电子档案管理规范》</w:t>
                  </w:r>
                </w:p>
              </w:tc>
              <w:tc>
                <w:tcPr>
                  <w:tcW w:w="1553" w:type="dxa"/>
                  <w:vAlign w:val="center"/>
                </w:tcPr>
                <w:p w14:paraId="72FE2428"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2016.08.29</w:t>
                  </w:r>
                </w:p>
              </w:tc>
              <w:tc>
                <w:tcPr>
                  <w:tcW w:w="1800" w:type="dxa"/>
                  <w:vAlign w:val="center"/>
                </w:tcPr>
                <w:p w14:paraId="3C76A8F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中国国家标准化管理委员会</w:t>
                  </w:r>
                </w:p>
              </w:tc>
              <w:tc>
                <w:tcPr>
                  <w:tcW w:w="2299" w:type="dxa"/>
                  <w:vAlign w:val="center"/>
                </w:tcPr>
                <w:p w14:paraId="10E23C59"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电子文档管理规范参考。</w:t>
                  </w:r>
                </w:p>
              </w:tc>
            </w:tr>
            <w:tr w:rsidR="00530312" w14:paraId="597DD0D3" w14:textId="77777777">
              <w:trPr>
                <w:trHeight w:val="663"/>
              </w:trPr>
              <w:tc>
                <w:tcPr>
                  <w:tcW w:w="1589" w:type="dxa"/>
                  <w:vAlign w:val="center"/>
                </w:tcPr>
                <w:p w14:paraId="03C913D1"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741D1989"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《全国职业院校大数据中心建设指南》</w:t>
                  </w:r>
                </w:p>
              </w:tc>
              <w:tc>
                <w:tcPr>
                  <w:tcW w:w="1553" w:type="dxa"/>
                  <w:vAlign w:val="center"/>
                </w:tcPr>
                <w:p w14:paraId="2EC4AB0E"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2023.06</w:t>
                  </w:r>
                </w:p>
              </w:tc>
              <w:tc>
                <w:tcPr>
                  <w:tcW w:w="1800" w:type="dxa"/>
                  <w:vAlign w:val="center"/>
                </w:tcPr>
                <w:p w14:paraId="496D8C2C"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教育部教育管理信息中心</w:t>
                  </w:r>
                </w:p>
              </w:tc>
              <w:tc>
                <w:tcPr>
                  <w:tcW w:w="2299" w:type="dxa"/>
                  <w:vAlign w:val="center"/>
                </w:tcPr>
                <w:p w14:paraId="0BAB9803"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职业教育主要参考标准与规范</w:t>
                  </w:r>
                </w:p>
              </w:tc>
            </w:tr>
            <w:tr w:rsidR="00530312" w14:paraId="44C18440" w14:textId="77777777">
              <w:trPr>
                <w:trHeight w:val="663"/>
              </w:trPr>
              <w:tc>
                <w:tcPr>
                  <w:tcW w:w="1589" w:type="dxa"/>
                  <w:vAlign w:val="center"/>
                </w:tcPr>
                <w:p w14:paraId="0DFD8141"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288D6325"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《职业院校数字基座高职数据标准及接口</w:t>
                  </w:r>
                  <w:r>
                    <w:rPr>
                      <w:rFonts w:ascii="黑体" w:eastAsia="黑体" w:hAnsi="黑体" w:cs="黑体" w:hint="eastAsia"/>
                      <w:color w:val="000000"/>
                      <w:sz w:val="24"/>
                    </w:rPr>
                    <w:lastRenderedPageBreak/>
                    <w:t>规范》</w:t>
                  </w:r>
                </w:p>
              </w:tc>
              <w:tc>
                <w:tcPr>
                  <w:tcW w:w="1553" w:type="dxa"/>
                  <w:vAlign w:val="center"/>
                </w:tcPr>
                <w:p w14:paraId="63FF6894"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lastRenderedPageBreak/>
                    <w:t>2024.09</w:t>
                  </w:r>
                </w:p>
              </w:tc>
              <w:tc>
                <w:tcPr>
                  <w:tcW w:w="1800" w:type="dxa"/>
                  <w:vAlign w:val="center"/>
                </w:tcPr>
                <w:p w14:paraId="4C4522A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职业教育与成人教育司教育</w:t>
                  </w:r>
                  <w:r>
                    <w:rPr>
                      <w:rFonts w:ascii="黑体" w:eastAsia="黑体" w:hAnsi="黑体" w:cs="黑体" w:hint="eastAsia"/>
                      <w:color w:val="000000"/>
                      <w:sz w:val="24"/>
                    </w:rPr>
                    <w:lastRenderedPageBreak/>
                    <w:t>部教育管理信息中心</w:t>
                  </w:r>
                </w:p>
              </w:tc>
              <w:tc>
                <w:tcPr>
                  <w:tcW w:w="2299" w:type="dxa"/>
                  <w:vAlign w:val="center"/>
                </w:tcPr>
                <w:p w14:paraId="4FCBD638"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lastRenderedPageBreak/>
                    <w:t>（原“全国职业教育智慧大脑院校中</w:t>
                  </w:r>
                  <w:r>
                    <w:rPr>
                      <w:rFonts w:ascii="黑体" w:eastAsia="黑体" w:hAnsi="黑体" w:cs="黑体" w:hint="eastAsia"/>
                      <w:color w:val="000000"/>
                      <w:sz w:val="24"/>
                    </w:rPr>
                    <w:lastRenderedPageBreak/>
                    <w:t>台高职数据标准及接口规范”</w:t>
                  </w:r>
                </w:p>
              </w:tc>
            </w:tr>
            <w:tr w:rsidR="00530312" w14:paraId="6C3129C2" w14:textId="77777777">
              <w:trPr>
                <w:trHeight w:val="663"/>
              </w:trPr>
              <w:tc>
                <w:tcPr>
                  <w:tcW w:w="1589" w:type="dxa"/>
                  <w:vAlign w:val="center"/>
                </w:tcPr>
                <w:p w14:paraId="084007DB"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6D7A850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职业教育信息化标杆学校监测指标（高等职业教育版）</w:t>
                  </w:r>
                </w:p>
              </w:tc>
              <w:tc>
                <w:tcPr>
                  <w:tcW w:w="1553" w:type="dxa"/>
                  <w:vAlign w:val="center"/>
                </w:tcPr>
                <w:p w14:paraId="340FDABF"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2020.10</w:t>
                  </w:r>
                </w:p>
              </w:tc>
              <w:tc>
                <w:tcPr>
                  <w:tcW w:w="1800" w:type="dxa"/>
                  <w:vAlign w:val="center"/>
                </w:tcPr>
                <w:p w14:paraId="16A64E58"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职业教育与成人教育司教育部教育管理信息中心</w:t>
                  </w:r>
                </w:p>
              </w:tc>
              <w:tc>
                <w:tcPr>
                  <w:tcW w:w="2299" w:type="dxa"/>
                  <w:vAlign w:val="center"/>
                </w:tcPr>
                <w:p w14:paraId="410AED56"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职业教育与成人教育司/处</w:t>
                  </w:r>
                </w:p>
              </w:tc>
            </w:tr>
            <w:tr w:rsidR="00530312" w14:paraId="2C9CC5EF" w14:textId="77777777">
              <w:trPr>
                <w:trHeight w:val="663"/>
              </w:trPr>
              <w:tc>
                <w:tcPr>
                  <w:tcW w:w="1589" w:type="dxa"/>
                  <w:vAlign w:val="center"/>
                </w:tcPr>
                <w:p w14:paraId="770E02E6" w14:textId="77777777" w:rsidR="00530312" w:rsidRDefault="00530312">
                  <w:pPr>
                    <w:spacing w:before="30" w:after="90" w:line="360" w:lineRule="auto"/>
                    <w:ind w:left="60"/>
                    <w:jc w:val="center"/>
                    <w:rPr>
                      <w:rFonts w:ascii="黑体" w:eastAsia="黑体" w:hAnsi="黑体" w:cs="黑体"/>
                      <w:color w:val="000000"/>
                      <w:sz w:val="24"/>
                    </w:rPr>
                  </w:pPr>
                </w:p>
              </w:tc>
              <w:tc>
                <w:tcPr>
                  <w:tcW w:w="2495" w:type="dxa"/>
                  <w:vAlign w:val="center"/>
                </w:tcPr>
                <w:p w14:paraId="00355FAE" w14:textId="77777777" w:rsidR="00530312" w:rsidRDefault="005170F5">
                  <w:pPr>
                    <w:spacing w:before="30" w:after="90" w:line="360" w:lineRule="auto"/>
                    <w:ind w:left="60"/>
                    <w:rPr>
                      <w:rFonts w:ascii="黑体" w:eastAsia="黑体" w:hAnsi="黑体" w:cs="黑体"/>
                      <w:color w:val="000000"/>
                      <w:sz w:val="24"/>
                    </w:rPr>
                  </w:pPr>
                  <w:r>
                    <w:rPr>
                      <w:rFonts w:ascii="黑体" w:eastAsia="黑体" w:hAnsi="黑体" w:cs="黑体" w:hint="eastAsia"/>
                      <w:color w:val="000000"/>
                      <w:kern w:val="0"/>
                      <w:sz w:val="24"/>
                      <w:lang w:bidi="ar"/>
                    </w:rPr>
                    <w:t>“推动高校融入数字重庆建设”的指示</w:t>
                  </w:r>
                </w:p>
              </w:tc>
              <w:tc>
                <w:tcPr>
                  <w:tcW w:w="1553" w:type="dxa"/>
                  <w:vAlign w:val="center"/>
                </w:tcPr>
                <w:p w14:paraId="5DBA62A7"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sz w:val="24"/>
                    </w:rPr>
                    <w:t>2025.01</w:t>
                  </w:r>
                </w:p>
              </w:tc>
              <w:tc>
                <w:tcPr>
                  <w:tcW w:w="1800" w:type="dxa"/>
                  <w:vAlign w:val="center"/>
                </w:tcPr>
                <w:p w14:paraId="06883F7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kern w:val="0"/>
                      <w:sz w:val="24"/>
                      <w:lang w:bidi="ar"/>
                    </w:rPr>
                    <w:t>数字重庆</w:t>
                  </w:r>
                </w:p>
              </w:tc>
              <w:tc>
                <w:tcPr>
                  <w:tcW w:w="2299" w:type="dxa"/>
                  <w:vAlign w:val="center"/>
                </w:tcPr>
                <w:p w14:paraId="1D799080" w14:textId="77777777" w:rsidR="00530312" w:rsidRDefault="005170F5">
                  <w:pPr>
                    <w:spacing w:before="30" w:after="90" w:line="360" w:lineRule="auto"/>
                    <w:ind w:left="60"/>
                    <w:jc w:val="center"/>
                    <w:rPr>
                      <w:rFonts w:ascii="黑体" w:eastAsia="黑体" w:hAnsi="黑体" w:cs="黑体"/>
                      <w:color w:val="000000"/>
                      <w:sz w:val="24"/>
                    </w:rPr>
                  </w:pPr>
                  <w:r>
                    <w:rPr>
                      <w:rFonts w:ascii="黑体" w:eastAsia="黑体" w:hAnsi="黑体" w:cs="黑体" w:hint="eastAsia"/>
                      <w:color w:val="000000"/>
                      <w:kern w:val="0"/>
                      <w:sz w:val="24"/>
                      <w:lang w:bidi="ar"/>
                    </w:rPr>
                    <w:t>数字重庆</w:t>
                  </w:r>
                </w:p>
              </w:tc>
            </w:tr>
          </w:tbl>
          <w:p w14:paraId="20D90BC2"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3.知识产权保护</w:t>
            </w:r>
          </w:p>
          <w:p w14:paraId="0A0D9721"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 xml:space="preserve">（1）厂家对学校开放所有表库，基于“一网通办、统一身份认证平台、数据中台”上构建的业务源代码由学校与厂商共同持有。 </w:t>
            </w:r>
          </w:p>
          <w:p w14:paraId="4A92F86B"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（2）开源组件使用比例严格控制在35%以内。</w:t>
            </w:r>
          </w:p>
          <w:p w14:paraId="223DDF62" w14:textId="77777777" w:rsidR="00530312" w:rsidRDefault="005170F5">
            <w:pPr>
              <w:spacing w:line="360" w:lineRule="auto"/>
              <w:rPr>
                <w:rFonts w:ascii="黑体" w:eastAsia="黑体" w:hAnsi="黑体" w:cs="黑体"/>
                <w:b/>
                <w:sz w:val="24"/>
              </w:rPr>
            </w:pPr>
            <w:r>
              <w:rPr>
                <w:rFonts w:ascii="黑体" w:eastAsia="黑体" w:hAnsi="黑体" w:cs="黑体" w:hint="eastAsia"/>
                <w:b/>
                <w:sz w:val="24"/>
              </w:rPr>
              <w:t>二、建设项目</w:t>
            </w:r>
          </w:p>
          <w:p w14:paraId="7A8F3C43"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（一）数据中台及数据治理服务</w:t>
            </w:r>
          </w:p>
          <w:tbl>
            <w:tblPr>
              <w:tblW w:w="0" w:type="auto"/>
              <w:tblLayout w:type="fixed"/>
              <w:tblCellMar>
                <w:left w:w="0" w:type="dxa"/>
                <w:right w:w="0" w:type="dxa"/>
              </w:tblCellMar>
              <w:tblLook w:val="04A0" w:firstRow="1" w:lastRow="0" w:firstColumn="1" w:lastColumn="0" w:noHBand="0" w:noVBand="1"/>
            </w:tblPr>
            <w:tblGrid>
              <w:gridCol w:w="1251"/>
              <w:gridCol w:w="8485"/>
            </w:tblGrid>
            <w:tr w:rsidR="00530312" w14:paraId="586780D4" w14:textId="77777777">
              <w:trPr>
                <w:trHeight w:val="3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F08430"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系统模块</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5F8589"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功能简述</w:t>
                  </w:r>
                </w:p>
              </w:tc>
            </w:tr>
            <w:tr w:rsidR="00530312" w14:paraId="054C5121" w14:textId="77777777">
              <w:trPr>
                <w:trHeight w:val="4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1B2861"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数据交换平台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91D7B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1.支持数据抽取、转换、装载、任务调度的过程，将分布的数据进行抽取、清洗、转换、集成，整合学校信息，成为报表展示、联机分析处理、数据挖掘的基础。</w:t>
                  </w:r>
                </w:p>
                <w:p w14:paraId="650831C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2.任务监控：系统应能够实时监控统一调度系统内的任务运行情况，包括但不限于：不成功任务数、正在运行任务数、已完成任务数、未运行任务数、总任务数量。</w:t>
                  </w:r>
                </w:p>
                <w:p w14:paraId="24A4EB2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3.支持离线任务管理，包括但不限于：离线任务列表的查看、新增离线任务、拖拉拽组件编排离线任务、离线任务调试、离线任务保存等功能。</w:t>
                  </w:r>
                </w:p>
                <w:p w14:paraId="54A2BC3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4.支持实时任务管理能力，包括但不限于：实时任务列表、使用SQL编写实时任务、实时任务监控调度、实时任务状态管理、</w:t>
                  </w:r>
                  <w:proofErr w:type="spellStart"/>
                  <w:r>
                    <w:rPr>
                      <w:rFonts w:ascii="黑体" w:eastAsia="黑体" w:hAnsi="黑体" w:cs="黑体" w:hint="eastAsia"/>
                      <w:color w:val="000000"/>
                      <w:kern w:val="0"/>
                      <w:sz w:val="24"/>
                      <w:lang w:bidi="ar"/>
                    </w:rPr>
                    <w:t>flink</w:t>
                  </w:r>
                  <w:proofErr w:type="spellEnd"/>
                  <w:r>
                    <w:rPr>
                      <w:rFonts w:ascii="黑体" w:eastAsia="黑体" w:hAnsi="黑体" w:cs="黑体" w:hint="eastAsia"/>
                      <w:color w:val="000000"/>
                      <w:kern w:val="0"/>
                      <w:sz w:val="24"/>
                      <w:lang w:bidi="ar"/>
                    </w:rPr>
                    <w:t>集群和配置管理等模块，实时任务应能够实时响应数据流处理需求。</w:t>
                  </w:r>
                </w:p>
                <w:p w14:paraId="12E889B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5.支持管理和维护业务系统源数据库，包括添加、修改、删除数据库，以及数据库联通性测试，支持脚本管理应允许添加和配置Python脚本，用于数据清洗和转换，包括脚本的运行参数信息配置。</w:t>
                  </w:r>
                </w:p>
                <w:p w14:paraId="6B737AC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6.日志管理：系统应提供全面的日志管理，记录所有调度、任务执行步骤和操作</w:t>
                  </w:r>
                  <w:r>
                    <w:rPr>
                      <w:rFonts w:ascii="黑体" w:eastAsia="黑体" w:hAnsi="黑体" w:cs="黑体" w:hint="eastAsia"/>
                      <w:color w:val="000000"/>
                      <w:kern w:val="0"/>
                      <w:sz w:val="24"/>
                      <w:lang w:bidi="ar"/>
                    </w:rPr>
                    <w:lastRenderedPageBreak/>
                    <w:t>信息，用户应能够通过选择日志类型、任务时间、关键字等条件查询和查找一段时间内的操作日志或任务执行日志。</w:t>
                  </w:r>
                </w:p>
                <w:p w14:paraId="715834C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7.具有可视化的图形界面，清晰展示不同层级任务之间</w:t>
                  </w:r>
                  <w:proofErr w:type="gramStart"/>
                  <w:r>
                    <w:rPr>
                      <w:rFonts w:ascii="黑体" w:eastAsia="黑体" w:hAnsi="黑体" w:cs="黑体" w:hint="eastAsia"/>
                      <w:color w:val="000000"/>
                      <w:kern w:val="0"/>
                      <w:sz w:val="24"/>
                      <w:lang w:bidi="ar"/>
                    </w:rPr>
                    <w:t>的表级数据流</w:t>
                  </w:r>
                  <w:proofErr w:type="gramEnd"/>
                  <w:r>
                    <w:rPr>
                      <w:rFonts w:ascii="黑体" w:eastAsia="黑体" w:hAnsi="黑体" w:cs="黑体" w:hint="eastAsia"/>
                      <w:color w:val="000000"/>
                      <w:kern w:val="0"/>
                      <w:sz w:val="24"/>
                      <w:lang w:bidi="ar"/>
                    </w:rPr>
                    <w:t>向和</w:t>
                  </w:r>
                  <w:proofErr w:type="gramStart"/>
                  <w:r>
                    <w:rPr>
                      <w:rFonts w:ascii="黑体" w:eastAsia="黑体" w:hAnsi="黑体" w:cs="黑体" w:hint="eastAsia"/>
                      <w:color w:val="000000"/>
                      <w:kern w:val="0"/>
                      <w:sz w:val="24"/>
                      <w:lang w:bidi="ar"/>
                    </w:rPr>
                    <w:t>字段级</w:t>
                  </w:r>
                  <w:proofErr w:type="gramEnd"/>
                  <w:r>
                    <w:rPr>
                      <w:rFonts w:ascii="黑体" w:eastAsia="黑体" w:hAnsi="黑体" w:cs="黑体" w:hint="eastAsia"/>
                      <w:color w:val="000000"/>
                      <w:kern w:val="0"/>
                      <w:sz w:val="24"/>
                      <w:lang w:bidi="ar"/>
                    </w:rPr>
                    <w:t>数据流向，包括任务依赖关系的可视化。</w:t>
                  </w:r>
                </w:p>
                <w:p w14:paraId="6BD301A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8.支持离线和实时任务在调度过程中触发告警条件和告警处理方式的管理，包括告警信息通知给相关责任人。</w:t>
                  </w:r>
                </w:p>
                <w:p w14:paraId="228E999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9.支持用户通过图表的形式查看任务实例的统计数据。</w:t>
                  </w:r>
                </w:p>
                <w:p w14:paraId="7F8EFD13"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10.支持多种数据源类型，包括主流关系型数据库（如Oracle、MySQL、PostgreSQL、MS SQL Server）、大数据数据库（如Hive）、无结构化数据存储（如FTP），以及Excel文件数据集成输入。</w:t>
                  </w:r>
                </w:p>
              </w:tc>
            </w:tr>
            <w:tr w:rsidR="00530312" w14:paraId="46DC85CC" w14:textId="77777777">
              <w:trPr>
                <w:trHeight w:val="34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D20775"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接口管理平台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42758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数据中心的标准数据为基础的数据订阅服务，支持轻量级的服务集成、管理和服务调用功能，应能够将数据以API接口或批处理接口的方式提供给外部系统，以实现数据共享，数据订阅应支持不同的订阅模式，包括一次订阅、按日提取、按月提取、实时API接口和批量API接口等。</w:t>
                  </w:r>
                </w:p>
                <w:p w14:paraId="4376194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2.供用户友好的界面，展示开放的数据域、数据集、字段、API接口、数据量等数据信息，用户应能够根据自定义选择条件查看数据集的元数据信息、字段信息以及真实数据信息，支持数据</w:t>
                  </w:r>
                  <w:proofErr w:type="gramStart"/>
                  <w:r>
                    <w:rPr>
                      <w:rFonts w:ascii="黑体" w:eastAsia="黑体" w:hAnsi="黑体" w:cs="黑体" w:hint="eastAsia"/>
                      <w:color w:val="000000"/>
                      <w:kern w:val="0"/>
                      <w:sz w:val="24"/>
                      <w:lang w:bidi="ar"/>
                    </w:rPr>
                    <w:t>集评价</w:t>
                  </w:r>
                  <w:proofErr w:type="gramEnd"/>
                  <w:r>
                    <w:rPr>
                      <w:rFonts w:ascii="黑体" w:eastAsia="黑体" w:hAnsi="黑体" w:cs="黑体" w:hint="eastAsia"/>
                      <w:color w:val="000000"/>
                      <w:kern w:val="0"/>
                      <w:sz w:val="24"/>
                      <w:lang w:bidi="ar"/>
                    </w:rPr>
                    <w:t>和查看其他用户对数据集评分和评语的能力。</w:t>
                  </w:r>
                </w:p>
                <w:p w14:paraId="5AC5495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3.支持用户通过选择数据域、数据集、订阅字段，并设置订阅条件，提供订阅备注功能，并支持测试订阅设置，支持用户提交订阅请求后，请求应进入待审批状态，并有审批功能。</w:t>
                  </w:r>
                </w:p>
                <w:p w14:paraId="1681B75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支持订阅模式如下：</w:t>
                  </w:r>
                </w:p>
                <w:p w14:paraId="65B3301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1）一次订阅：订阅后生成最新的数据文件，下载一次后该申请作废，一次订阅无截至时间取决于用户下载；</w:t>
                  </w:r>
                </w:p>
                <w:p w14:paraId="22057EA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2）按日提取：订阅后从生效时间开始至截至时间，每日生成一份数据文件，用户可以下载任意一份已经生成的数据文件。</w:t>
                  </w:r>
                </w:p>
                <w:p w14:paraId="2D2ECD2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3）按月提取：订阅后从生效时间开始至截至时间，每月生成一份数据文件，用户可以下载任意一份已经生成的数据文件。</w:t>
                  </w:r>
                </w:p>
                <w:p w14:paraId="52B2992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4）实时API接口：默认订阅数据表的主键，其余字段由用户选择是否订阅，数据在有效期内可以使用，有效期外链接失效，在实时API接口调用时必须通过POST模式传入主键值，订阅平台提供最新的数据。</w:t>
                  </w:r>
                </w:p>
                <w:p w14:paraId="4D96DC7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5）批量API接口：用户可以随意选择订阅的字段，数据在有效期内可以使用，有效期外链接失效，批量API可以选择GET、POST模式调用，GET模式直接调用，POST模式可以传入分页参数。</w:t>
                  </w:r>
                </w:p>
                <w:p w14:paraId="24C0355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用户查看自己的订阅申请的审批状态，包括正在审批、审批通过、审批不通过，并能查看审批信息和流程。通过审批的用户应能够查看下载文件和API接口信息。提供一次订阅、按日提取、按月提取、实时API接口和批量API接口的下载和调用功能。</w:t>
                  </w:r>
                </w:p>
                <w:p w14:paraId="528DCDE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5.支持具有审批权限的用户进行审批操作，审批流程应根据审批模板执行，审批人员应能查看待审批的申请和已完成的审批。</w:t>
                  </w:r>
                </w:p>
                <w:p w14:paraId="7E316442"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6.提供订阅平台的订阅行为指标，包括文件下载和API调用的统计数据。统计数据应</w:t>
                  </w:r>
                  <w:proofErr w:type="gramStart"/>
                  <w:r>
                    <w:rPr>
                      <w:rFonts w:ascii="黑体" w:eastAsia="黑体" w:hAnsi="黑体" w:cs="黑体" w:hint="eastAsia"/>
                      <w:color w:val="000000"/>
                      <w:kern w:val="0"/>
                      <w:sz w:val="24"/>
                      <w:lang w:bidi="ar"/>
                    </w:rPr>
                    <w:t>按数据集维</w:t>
                  </w:r>
                  <w:proofErr w:type="gramEnd"/>
                  <w:r>
                    <w:rPr>
                      <w:rFonts w:ascii="黑体" w:eastAsia="黑体" w:hAnsi="黑体" w:cs="黑体" w:hint="eastAsia"/>
                      <w:color w:val="000000"/>
                      <w:kern w:val="0"/>
                      <w:sz w:val="24"/>
                      <w:lang w:bidi="ar"/>
                    </w:rPr>
                    <w:t>度进行排行，包括被调用或下载的行为次数和用户下载调用次数的排行。</w:t>
                  </w:r>
                </w:p>
              </w:tc>
            </w:tr>
            <w:tr w:rsidR="00530312" w14:paraId="05501514"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50975B"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数据标准管理平台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31AD5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1.提供数据仓库中数据结构及数据的标准化约束功能，以实现数据仓库数据的标准化管理。</w:t>
                  </w:r>
                </w:p>
                <w:p w14:paraId="6445AD2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2.支持展示数据仓库中实体数据标准、公共代码数据标准、指标类数据标准的统计信息，包括数量和统计数据。</w:t>
                  </w:r>
                </w:p>
                <w:p w14:paraId="01C1849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数据标准页面应分别展示实体数据标准、公共代码数据标准、指标类数据标准的简要信息列表。对实体数据标准和公共代码数据标准，应根据标准主题进行分类，而指标类数据标准应按制表分类划分。实体数据标准详情应包括标准编码、实体编码、实体名称和相关字段信息。公共代码数据标准详情应包括标准代码、标准名称、公共代码编码和相关代码明细信息。指标类数据标准详情应包括标准代码、标准名称、指标编码、统计口径、指标数据等信息。</w:t>
                  </w:r>
                </w:p>
                <w:p w14:paraId="3210464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提供实体数据标准、公共代码数据标准和指标类数据标准的录入功能。标准录入应包括填写数据标准的基本信息、选择标准主题、配置重要级别、配置维护人员等公共步骤。对实体数据标准应提供设置标准实体名称、实体编码、实体所属数据域和字段明细信息的功能。对公共代码类数据标准应提供设置公共代码编码、公共代码名称和相关代码</w:t>
                  </w:r>
                  <w:proofErr w:type="gramStart"/>
                  <w:r>
                    <w:rPr>
                      <w:rFonts w:ascii="黑体" w:eastAsia="黑体" w:hAnsi="黑体" w:cs="黑体" w:hint="eastAsia"/>
                      <w:color w:val="000000"/>
                      <w:kern w:val="0"/>
                      <w:sz w:val="24"/>
                      <w:lang w:bidi="ar"/>
                    </w:rPr>
                    <w:t>枚举值信息</w:t>
                  </w:r>
                  <w:proofErr w:type="gramEnd"/>
                  <w:r>
                    <w:rPr>
                      <w:rFonts w:ascii="黑体" w:eastAsia="黑体" w:hAnsi="黑体" w:cs="黑体" w:hint="eastAsia"/>
                      <w:color w:val="000000"/>
                      <w:kern w:val="0"/>
                      <w:sz w:val="24"/>
                      <w:lang w:bidi="ar"/>
                    </w:rPr>
                    <w:t>的功能。</w:t>
                  </w:r>
                </w:p>
                <w:p w14:paraId="041171B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5.提供系统管理员进行数据标准变更审核的功能，用户录入的数据标准应经过审核，只有审核通过的标准才能生效。</w:t>
                  </w:r>
                </w:p>
                <w:p w14:paraId="1F83CD50"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6.提供查询各个数据标准的历史变更日志功能，用户应能够追溯和排查数据标准</w:t>
                  </w:r>
                  <w:r>
                    <w:rPr>
                      <w:rFonts w:ascii="黑体" w:eastAsia="黑体" w:hAnsi="黑体" w:cs="黑体" w:hint="eastAsia"/>
                      <w:color w:val="000000"/>
                      <w:kern w:val="0"/>
                      <w:sz w:val="24"/>
                      <w:lang w:bidi="ar"/>
                    </w:rPr>
                    <w:lastRenderedPageBreak/>
                    <w:t>的变更历史。</w:t>
                  </w:r>
                </w:p>
              </w:tc>
            </w:tr>
            <w:tr w:rsidR="00530312" w14:paraId="28300486" w14:textId="77777777">
              <w:trPr>
                <w:trHeight w:val="120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8B66F1"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数据质量管理平台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DE1B8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1.外部数据质量稽核服务：</w:t>
                  </w:r>
                </w:p>
                <w:p w14:paraId="6A4A066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1）支持源系统实体稽核，包括检查实体主键取值合法性、</w:t>
                  </w:r>
                  <w:proofErr w:type="gramStart"/>
                  <w:r>
                    <w:rPr>
                      <w:rFonts w:ascii="黑体" w:eastAsia="黑体" w:hAnsi="黑体" w:cs="黑体" w:hint="eastAsia"/>
                      <w:color w:val="000000"/>
                      <w:kern w:val="0"/>
                      <w:sz w:val="24"/>
                      <w:lang w:bidi="ar"/>
                    </w:rPr>
                    <w:t>外键检查</w:t>
                  </w:r>
                  <w:proofErr w:type="gramEnd"/>
                  <w:r>
                    <w:rPr>
                      <w:rFonts w:ascii="黑体" w:eastAsia="黑体" w:hAnsi="黑体" w:cs="黑体" w:hint="eastAsia"/>
                      <w:color w:val="000000"/>
                      <w:kern w:val="0"/>
                      <w:sz w:val="24"/>
                      <w:lang w:bidi="ar"/>
                    </w:rPr>
                    <w:t>、值域检查、编码规范检查、实体关键属性完整性检查和属性合法值检查。</w:t>
                  </w:r>
                </w:p>
                <w:p w14:paraId="2C6A189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2）支持维表映射关系稽核，可检查元数据库和</w:t>
                  </w:r>
                  <w:proofErr w:type="gramStart"/>
                  <w:r>
                    <w:rPr>
                      <w:rFonts w:ascii="黑体" w:eastAsia="黑体" w:hAnsi="黑体" w:cs="黑体" w:hint="eastAsia"/>
                      <w:color w:val="000000"/>
                      <w:kern w:val="0"/>
                      <w:sz w:val="24"/>
                      <w:lang w:bidi="ar"/>
                    </w:rPr>
                    <w:t>源系统维表库之间</w:t>
                  </w:r>
                  <w:proofErr w:type="gramEnd"/>
                  <w:r>
                    <w:rPr>
                      <w:rFonts w:ascii="黑体" w:eastAsia="黑体" w:hAnsi="黑体" w:cs="黑体" w:hint="eastAsia"/>
                      <w:color w:val="000000"/>
                      <w:kern w:val="0"/>
                      <w:sz w:val="24"/>
                      <w:lang w:bidi="ar"/>
                    </w:rPr>
                    <w:t>的映射关系，并确认映射关系的完整性。</w:t>
                  </w:r>
                </w:p>
                <w:p w14:paraId="107071E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3）支持学校对数据质量检测结果进行查看，报表展示，并支持数据权限范围的设置，以便责任部门在线认领、跟进处理。</w:t>
                  </w:r>
                </w:p>
                <w:p w14:paraId="4C0B361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4）支持数据质量报告评分及下载功能应支持对全校级、系统级、</w:t>
                  </w:r>
                  <w:proofErr w:type="gramStart"/>
                  <w:r>
                    <w:rPr>
                      <w:rFonts w:ascii="黑体" w:eastAsia="黑体" w:hAnsi="黑体" w:cs="黑体" w:hint="eastAsia"/>
                      <w:color w:val="000000"/>
                      <w:kern w:val="0"/>
                      <w:sz w:val="24"/>
                      <w:lang w:bidi="ar"/>
                    </w:rPr>
                    <w:t>表级的</w:t>
                  </w:r>
                  <w:proofErr w:type="gramEnd"/>
                  <w:r>
                    <w:rPr>
                      <w:rFonts w:ascii="黑体" w:eastAsia="黑体" w:hAnsi="黑体" w:cs="黑体" w:hint="eastAsia"/>
                      <w:color w:val="000000"/>
                      <w:kern w:val="0"/>
                      <w:sz w:val="24"/>
                      <w:lang w:bidi="ar"/>
                    </w:rPr>
                    <w:t>数据进行质量分析，并提供历史报表的查看和下载功能。</w:t>
                  </w:r>
                </w:p>
                <w:p w14:paraId="3E73075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5）支持对不达标数据明细应展示，数据质量得分较低的系统数据表和每张表中存在问题的字段。</w:t>
                  </w:r>
                </w:p>
                <w:p w14:paraId="4829A66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2.内部数据质量检查服务技术要求：</w:t>
                  </w:r>
                </w:p>
                <w:p w14:paraId="44CF917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1）支持内部处理过程，能对数据处理过程的检查稽核，包括接口数据处理过程和中心处理过程。</w:t>
                  </w:r>
                </w:p>
                <w:p w14:paraId="0C68B4C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2）支持关键指标检查，能根据预定义的规则对关键指标进行检查，支持简单和复杂的检查方法。</w:t>
                  </w:r>
                </w:p>
                <w:p w14:paraId="155959D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3）支持数据质量分析和预警功能，能对系统中的数据质量问题进行统计分析和预警，找出问题的根本原因并向校方管理人员发送预警。</w:t>
                  </w:r>
                </w:p>
                <w:p w14:paraId="573E1CD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3.业务数据采集清洗服务技术要求：</w:t>
                  </w:r>
                </w:p>
                <w:p w14:paraId="1AFFF4D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1）支持数据清洗服务应根据标准数据规范进行数据建模，包括数据域划分。</w:t>
                  </w:r>
                </w:p>
                <w:p w14:paraId="650CEFE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2）支持数据清洗过程，能确保单一字段不存在多种信息，字段使用标准的数据字典值，数据格式统一。</w:t>
                  </w:r>
                </w:p>
                <w:p w14:paraId="171FE39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3）支持数据整合应确认权威数据源，支持去重处理，能满足数据一致性要求。</w:t>
                  </w:r>
                </w:p>
                <w:p w14:paraId="257697F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4）支持清洗后的数据，满足数据一致性，字段名与值含义匹配，计量单位统一。</w:t>
                  </w:r>
                </w:p>
                <w:p w14:paraId="77FA7AD3"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5）支持数据关联关系进行筛选和扩展，满足业务分析需要，导入数据仓库，形成有效的数据资产。</w:t>
                  </w:r>
                </w:p>
              </w:tc>
            </w:tr>
            <w:tr w:rsidR="00530312" w14:paraId="12C3FA89" w14:textId="77777777">
              <w:trPr>
                <w:trHeight w:val="264"/>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75850C"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数据资产确权管理平台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2DF85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1.支持数据确权管理，能够管理</w:t>
                  </w:r>
                  <w:proofErr w:type="gramStart"/>
                  <w:r>
                    <w:rPr>
                      <w:rFonts w:ascii="黑体" w:eastAsia="黑体" w:hAnsi="黑体" w:cs="黑体" w:hint="eastAsia"/>
                      <w:color w:val="000000"/>
                      <w:kern w:val="0"/>
                      <w:sz w:val="24"/>
                      <w:lang w:bidi="ar"/>
                    </w:rPr>
                    <w:t>主数据</w:t>
                  </w:r>
                  <w:proofErr w:type="gramEnd"/>
                  <w:r>
                    <w:rPr>
                      <w:rFonts w:ascii="黑体" w:eastAsia="黑体" w:hAnsi="黑体" w:cs="黑体" w:hint="eastAsia"/>
                      <w:color w:val="000000"/>
                      <w:kern w:val="0"/>
                      <w:sz w:val="24"/>
                      <w:lang w:bidi="ar"/>
                    </w:rPr>
                    <w:t>资产包括资产目录，包括注册、编辑、开放、下线等操作，以便掌</w:t>
                  </w:r>
                  <w:proofErr w:type="gramStart"/>
                  <w:r>
                    <w:rPr>
                      <w:rFonts w:ascii="黑体" w:eastAsia="黑体" w:hAnsi="黑体" w:cs="黑体" w:hint="eastAsia"/>
                      <w:color w:val="000000"/>
                      <w:kern w:val="0"/>
                      <w:sz w:val="24"/>
                      <w:lang w:bidi="ar"/>
                    </w:rPr>
                    <w:t>控学校</w:t>
                  </w:r>
                  <w:proofErr w:type="gramEnd"/>
                  <w:r>
                    <w:rPr>
                      <w:rFonts w:ascii="黑体" w:eastAsia="黑体" w:hAnsi="黑体" w:cs="黑体" w:hint="eastAsia"/>
                      <w:color w:val="000000"/>
                      <w:kern w:val="0"/>
                      <w:sz w:val="24"/>
                      <w:lang w:bidi="ar"/>
                    </w:rPr>
                    <w:t>资产状况。</w:t>
                  </w:r>
                </w:p>
                <w:p w14:paraId="7C624B6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2.支持系统首页应展示当前资产域的数量、数据资产的数量、外部导入数据的数量，以及资产域的名称和简介。</w:t>
                  </w:r>
                </w:p>
                <w:p w14:paraId="355A247E"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3.支持资产目录展示数据资产列表，包括资产名称、资产描述、资产代码、资产来源、资产是否开放、资产是否订阅、资产业务域、资产属主、数据更新日期、最新修改日期、数据条数、创建人、创建日期、备注等信息。资产目录应同时展示资产包含的字段名称、数据类型、字段长度、可否为空、是否主键等详细字段信息。</w:t>
                  </w:r>
                </w:p>
              </w:tc>
            </w:tr>
            <w:tr w:rsidR="00530312" w14:paraId="7954EBF6" w14:textId="77777777">
              <w:trPr>
                <w:trHeight w:val="6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F30C98"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数据及应用的生命周期管理平台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4495DB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提供数据仓库各层（接口层、整合层、轻度汇总层、重度汇总层）的表数量、个数占比、占用存储空间、占总存储空间的比例。支持展示各层级的接口数、数据表个数、数据表个数占数据仓库比例、数据表占用存储量、数据表存储量占数据仓库比例。提供数据集列表，包括数据集名称、表类型、存储周期、表个数、个数占比、占用存储、</w:t>
                  </w:r>
                  <w:proofErr w:type="gramStart"/>
                  <w:r>
                    <w:rPr>
                      <w:rFonts w:ascii="黑体" w:eastAsia="黑体" w:hAnsi="黑体" w:cs="黑体" w:hint="eastAsia"/>
                      <w:color w:val="000000"/>
                      <w:kern w:val="0"/>
                      <w:sz w:val="24"/>
                      <w:lang w:bidi="ar"/>
                    </w:rPr>
                    <w:t>存储占</w:t>
                  </w:r>
                  <w:proofErr w:type="gramEnd"/>
                  <w:r>
                    <w:rPr>
                      <w:rFonts w:ascii="黑体" w:eastAsia="黑体" w:hAnsi="黑体" w:cs="黑体" w:hint="eastAsia"/>
                      <w:color w:val="000000"/>
                      <w:kern w:val="0"/>
                      <w:sz w:val="24"/>
                      <w:lang w:bidi="ar"/>
                    </w:rPr>
                    <w:t>比。使用图表和列表方式展示不同运行周期的数据表存储情况。提供表级别的存储情况，包括表名称、表类型、存储周期、表个数、个数占用、占用存储、</w:t>
                  </w:r>
                  <w:proofErr w:type="gramStart"/>
                  <w:r>
                    <w:rPr>
                      <w:rFonts w:ascii="黑体" w:eastAsia="黑体" w:hAnsi="黑体" w:cs="黑体" w:hint="eastAsia"/>
                      <w:color w:val="000000"/>
                      <w:kern w:val="0"/>
                      <w:sz w:val="24"/>
                      <w:lang w:bidi="ar"/>
                    </w:rPr>
                    <w:t>存储占</w:t>
                  </w:r>
                  <w:proofErr w:type="gramEnd"/>
                  <w:r>
                    <w:rPr>
                      <w:rFonts w:ascii="黑体" w:eastAsia="黑体" w:hAnsi="黑体" w:cs="黑体" w:hint="eastAsia"/>
                      <w:color w:val="000000"/>
                      <w:kern w:val="0"/>
                      <w:sz w:val="24"/>
                      <w:lang w:bidi="ar"/>
                    </w:rPr>
                    <w:t>比等信息。</w:t>
                  </w:r>
                </w:p>
                <w:p w14:paraId="49DE008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2.支持展示各个数据表的名称、归属信息、表类型、存储周期、表个数、个数占比、占用存储、</w:t>
                  </w:r>
                  <w:proofErr w:type="gramStart"/>
                  <w:r>
                    <w:rPr>
                      <w:rFonts w:ascii="黑体" w:eastAsia="黑体" w:hAnsi="黑体" w:cs="黑体" w:hint="eastAsia"/>
                      <w:color w:val="000000"/>
                      <w:kern w:val="0"/>
                      <w:sz w:val="24"/>
                      <w:lang w:bidi="ar"/>
                    </w:rPr>
                    <w:t>存储占</w:t>
                  </w:r>
                  <w:proofErr w:type="gramEnd"/>
                  <w:r>
                    <w:rPr>
                      <w:rFonts w:ascii="黑体" w:eastAsia="黑体" w:hAnsi="黑体" w:cs="黑体" w:hint="eastAsia"/>
                      <w:color w:val="000000"/>
                      <w:kern w:val="0"/>
                      <w:sz w:val="24"/>
                      <w:lang w:bidi="ar"/>
                    </w:rPr>
                    <w:t>比。用户应能够查看数据集下的所有表列表。支持修改当前数据集的生命周期，系统应根据指定的生命周期进行数据表的清理工作。</w:t>
                  </w:r>
                </w:p>
                <w:p w14:paraId="779F83D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3.支持应用生命周期分析：</w:t>
                  </w:r>
                </w:p>
                <w:p w14:paraId="525289C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1）提供日点击率概况，展示所有应用近1个月的日点击量趋势。</w:t>
                  </w:r>
                </w:p>
                <w:p w14:paraId="048ADB5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2）提供月点击率概况，展示所有应用近12个月的日点击量趋势。</w:t>
                  </w:r>
                </w:p>
                <w:p w14:paraId="1BC6A6A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3）提供点击量排名，包括近1个月、近3个月、近6个月、近9个月和近一年点击量最高和最低的7个应用。</w:t>
                  </w:r>
                </w:p>
                <w:p w14:paraId="5AE65A6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4）支持统计不同时间维度下各个一级应用下的二级应用的点击次数。</w:t>
                  </w:r>
                </w:p>
                <w:p w14:paraId="0003AE7E"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4.能够根据分析结果提供建议下线的应用名单，包括应用的归属系统、上线时间、近6个月点击量、近1年点击量、总点击量等信息。用户应能够对应用进行下线操作，系统应根据建议和实际使用情况对应用进行下线，以减轻系统负担和释放资源。</w:t>
                  </w:r>
                </w:p>
              </w:tc>
            </w:tr>
            <w:tr w:rsidR="00530312" w14:paraId="37E6A45D" w14:textId="77777777">
              <w:trPr>
                <w:trHeight w:val="9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B1A75D"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数据目录管理平台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22214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1.支持展示接入业务系统和数据集的数量、整合层数据域和数据集的数量、公共代码项的数量和代码条数。首页应提供对接口层、整合层、轻度汇总层、重度汇总层、应用层、共享区的数据集列表。</w:t>
                  </w:r>
                </w:p>
                <w:p w14:paraId="7E767F0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2.支持数据</w:t>
                  </w:r>
                  <w:proofErr w:type="gramStart"/>
                  <w:r>
                    <w:rPr>
                      <w:rFonts w:ascii="黑体" w:eastAsia="黑体" w:hAnsi="黑体" w:cs="黑体" w:hint="eastAsia"/>
                      <w:color w:val="000000"/>
                      <w:kern w:val="0"/>
                      <w:sz w:val="24"/>
                      <w:lang w:bidi="ar"/>
                    </w:rPr>
                    <w:t>集按照</w:t>
                  </w:r>
                  <w:proofErr w:type="gramEnd"/>
                  <w:r>
                    <w:rPr>
                      <w:rFonts w:ascii="黑体" w:eastAsia="黑体" w:hAnsi="黑体" w:cs="黑体" w:hint="eastAsia"/>
                      <w:color w:val="000000"/>
                      <w:kern w:val="0"/>
                      <w:sz w:val="24"/>
                      <w:lang w:bidi="ar"/>
                    </w:rPr>
                    <w:t>接口层、整合层、轻度汇总层、重度汇总层、应用层、共享区的分类进行展示。接口层</w:t>
                  </w:r>
                  <w:proofErr w:type="gramStart"/>
                  <w:r>
                    <w:rPr>
                      <w:rFonts w:ascii="黑体" w:eastAsia="黑体" w:hAnsi="黑体" w:cs="黑体" w:hint="eastAsia"/>
                      <w:color w:val="000000"/>
                      <w:kern w:val="0"/>
                      <w:sz w:val="24"/>
                      <w:lang w:bidi="ar"/>
                    </w:rPr>
                    <w:t>数据集应支持</w:t>
                  </w:r>
                  <w:proofErr w:type="gramEnd"/>
                  <w:r>
                    <w:rPr>
                      <w:rFonts w:ascii="黑体" w:eastAsia="黑体" w:hAnsi="黑体" w:cs="黑体" w:hint="eastAsia"/>
                      <w:color w:val="000000"/>
                      <w:kern w:val="0"/>
                      <w:sz w:val="24"/>
                      <w:lang w:bidi="ar"/>
                    </w:rPr>
                    <w:t>按业务系统分类展示，整合层和轻度汇总层应支持</w:t>
                  </w:r>
                  <w:proofErr w:type="gramStart"/>
                  <w:r>
                    <w:rPr>
                      <w:rFonts w:ascii="黑体" w:eastAsia="黑体" w:hAnsi="黑体" w:cs="黑体" w:hint="eastAsia"/>
                      <w:color w:val="000000"/>
                      <w:kern w:val="0"/>
                      <w:sz w:val="24"/>
                      <w:lang w:bidi="ar"/>
                    </w:rPr>
                    <w:t>按数据域</w:t>
                  </w:r>
                  <w:proofErr w:type="gramEnd"/>
                  <w:r>
                    <w:rPr>
                      <w:rFonts w:ascii="黑体" w:eastAsia="黑体" w:hAnsi="黑体" w:cs="黑体" w:hint="eastAsia"/>
                      <w:color w:val="000000"/>
                      <w:kern w:val="0"/>
                      <w:sz w:val="24"/>
                      <w:lang w:bidi="ar"/>
                    </w:rPr>
                    <w:t>分类展示。共享区应包括开放给其他业务系统使用的数据集列表，公共区应展示所有代码规范。所有数据集都应支持搜索功能，以方便查找和定位。数据集详情页面应包括数据集信息、字段详情和数据预览。</w:t>
                  </w:r>
                </w:p>
                <w:p w14:paraId="4D7DCD0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数据集的基本属性，包括数据集名称、描述、归属系统/数据域、数据条数、数据容量、更新周期、实体表数量、更新时间等信息。字段详情应展示数据集的字段构成，包括字段代码、字段名称、数据类型、字段长度、小数位数、是否字典项、是否为空、是否主键等属性。数据预览应展示数据集中最新一张实体表的前20条数据。</w:t>
                  </w:r>
                </w:p>
                <w:p w14:paraId="7AADF8A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公共区展示所有代码规范，包括教育部规定的代码规范和国标规定的代码规范，以及学校自定义代码规范。公共区列表应展示代码名称、代码描述、所属代码类别、代码层级和代码条数。代码详情页面应包括代码信息，包括代码名称、描述、所属代码类别、代码层级、代码条数，以及所有代码层级的代码编码和对应的代码值。</w:t>
                  </w:r>
                </w:p>
                <w:p w14:paraId="3AEEC86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 支持通过UC矩阵展示各个数据集来源于哪个业务系统（C）以及被哪些业务系统使用（U）。同一个数据</w:t>
                  </w:r>
                  <w:proofErr w:type="gramStart"/>
                  <w:r>
                    <w:rPr>
                      <w:rFonts w:ascii="黑体" w:eastAsia="黑体" w:hAnsi="黑体" w:cs="黑体" w:hint="eastAsia"/>
                      <w:color w:val="000000"/>
                      <w:kern w:val="0"/>
                      <w:sz w:val="24"/>
                      <w:lang w:bidi="ar"/>
                    </w:rPr>
                    <w:t>集应只能</w:t>
                  </w:r>
                  <w:proofErr w:type="gramEnd"/>
                  <w:r>
                    <w:rPr>
                      <w:rFonts w:ascii="黑体" w:eastAsia="黑体" w:hAnsi="黑体" w:cs="黑体" w:hint="eastAsia"/>
                      <w:color w:val="000000"/>
                      <w:kern w:val="0"/>
                      <w:sz w:val="24"/>
                      <w:lang w:bidi="ar"/>
                    </w:rPr>
                    <w:t>有一个C（创建者），但可以有多个U（使用者）。系统应提供修改和调整数据集的UC矩阵的功能。</w:t>
                  </w:r>
                </w:p>
                <w:p w14:paraId="3E23AB15"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6.支持知识库，提供数据仓库相关理论知识与开发规范，</w:t>
                  </w:r>
                  <w:proofErr w:type="gramStart"/>
                  <w:r>
                    <w:rPr>
                      <w:rFonts w:ascii="黑体" w:eastAsia="黑体" w:hAnsi="黑体" w:cs="黑体" w:hint="eastAsia"/>
                      <w:color w:val="000000"/>
                      <w:kern w:val="0"/>
                      <w:sz w:val="24"/>
                      <w:lang w:bidi="ar"/>
                    </w:rPr>
                    <w:t>包括数仓分层</w:t>
                  </w:r>
                  <w:proofErr w:type="gramEnd"/>
                  <w:r>
                    <w:rPr>
                      <w:rFonts w:ascii="黑体" w:eastAsia="黑体" w:hAnsi="黑体" w:cs="黑体" w:hint="eastAsia"/>
                      <w:color w:val="000000"/>
                      <w:kern w:val="0"/>
                      <w:sz w:val="24"/>
                      <w:lang w:bidi="ar"/>
                    </w:rPr>
                    <w:t>知识、</w:t>
                  </w:r>
                  <w:proofErr w:type="gramStart"/>
                  <w:r>
                    <w:rPr>
                      <w:rFonts w:ascii="黑体" w:eastAsia="黑体" w:hAnsi="黑体" w:cs="黑体" w:hint="eastAsia"/>
                      <w:color w:val="000000"/>
                      <w:kern w:val="0"/>
                      <w:sz w:val="24"/>
                      <w:lang w:bidi="ar"/>
                    </w:rPr>
                    <w:t>数仓划域</w:t>
                  </w:r>
                  <w:proofErr w:type="gramEnd"/>
                  <w:r>
                    <w:rPr>
                      <w:rFonts w:ascii="黑体" w:eastAsia="黑体" w:hAnsi="黑体" w:cs="黑体" w:hint="eastAsia"/>
                      <w:color w:val="000000"/>
                      <w:kern w:val="0"/>
                      <w:sz w:val="24"/>
                      <w:lang w:bidi="ar"/>
                    </w:rPr>
                    <w:t>知识、表命名知识、字段注释知识、PYTHON脚本命名知识。</w:t>
                  </w:r>
                </w:p>
              </w:tc>
            </w:tr>
            <w:tr w:rsidR="00530312" w14:paraId="706FBC77"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47DC59F"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元数据管理平台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41EE7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1.支持展示数据</w:t>
                  </w:r>
                  <w:proofErr w:type="gramStart"/>
                  <w:r>
                    <w:rPr>
                      <w:rFonts w:ascii="黑体" w:eastAsia="黑体" w:hAnsi="黑体" w:cs="黑体" w:hint="eastAsia"/>
                      <w:color w:val="000000"/>
                      <w:kern w:val="0"/>
                      <w:sz w:val="24"/>
                      <w:lang w:bidi="ar"/>
                    </w:rPr>
                    <w:t>集总数</w:t>
                  </w:r>
                  <w:proofErr w:type="gramEnd"/>
                  <w:r>
                    <w:rPr>
                      <w:rFonts w:ascii="黑体" w:eastAsia="黑体" w:hAnsi="黑体" w:cs="黑体" w:hint="eastAsia"/>
                      <w:color w:val="000000"/>
                      <w:kern w:val="0"/>
                      <w:sz w:val="24"/>
                      <w:lang w:bidi="ar"/>
                    </w:rPr>
                    <w:t>以及已整合标准数据域和标准数据集的数量。展示共享数据域的个数和共享数据集的个数。提供接入业务系统的数量以及每个业务系统的数据集数量。展示UC矩阵业务系统和数据</w:t>
                  </w:r>
                  <w:proofErr w:type="gramStart"/>
                  <w:r>
                    <w:rPr>
                      <w:rFonts w:ascii="黑体" w:eastAsia="黑体" w:hAnsi="黑体" w:cs="黑体" w:hint="eastAsia"/>
                      <w:color w:val="000000"/>
                      <w:kern w:val="0"/>
                      <w:sz w:val="24"/>
                      <w:lang w:bidi="ar"/>
                    </w:rPr>
                    <w:t>集之间</w:t>
                  </w:r>
                  <w:proofErr w:type="gramEnd"/>
                  <w:r>
                    <w:rPr>
                      <w:rFonts w:ascii="黑体" w:eastAsia="黑体" w:hAnsi="黑体" w:cs="黑体" w:hint="eastAsia"/>
                      <w:color w:val="000000"/>
                      <w:kern w:val="0"/>
                      <w:sz w:val="24"/>
                      <w:lang w:bidi="ar"/>
                    </w:rPr>
                    <w:t>的生产使用关系。提供表结构预览功能，展示数据集名称、数据描述、数据来源、更新周期、归属数据域、字段名称、数据类型、字段长度、是否字典项、是否主键等表结构信息。</w:t>
                  </w:r>
                </w:p>
                <w:p w14:paraId="458E727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能够展示国家标准代码类的数量以及标准代码项的数量。列出对接的业务系统数量和完成标准化转换字段的数量。提供代码类和代码项的详细信息，包括代码项名称、代码项描述、代码来源、所属代码类、代码项层级、代码数量、代码名称、代码所属层级、代码值。</w:t>
                  </w:r>
                </w:p>
                <w:p w14:paraId="5C11FC4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3.能够选择代码类和查看相关代码项。提供代码项转换规则，显示源系统数据表</w:t>
                  </w:r>
                  <w:r>
                    <w:rPr>
                      <w:rFonts w:ascii="黑体" w:eastAsia="黑体" w:hAnsi="黑体" w:cs="黑体" w:hint="eastAsia"/>
                      <w:color w:val="000000"/>
                      <w:kern w:val="0"/>
                      <w:sz w:val="24"/>
                      <w:lang w:bidi="ar"/>
                    </w:rPr>
                    <w:lastRenderedPageBreak/>
                    <w:t>字段和标准数据</w:t>
                  </w:r>
                  <w:proofErr w:type="gramStart"/>
                  <w:r>
                    <w:rPr>
                      <w:rFonts w:ascii="黑体" w:eastAsia="黑体" w:hAnsi="黑体" w:cs="黑体" w:hint="eastAsia"/>
                      <w:color w:val="000000"/>
                      <w:kern w:val="0"/>
                      <w:sz w:val="24"/>
                      <w:lang w:bidi="ar"/>
                    </w:rPr>
                    <w:t>域数据</w:t>
                  </w:r>
                  <w:proofErr w:type="gramEnd"/>
                  <w:r>
                    <w:rPr>
                      <w:rFonts w:ascii="黑体" w:eastAsia="黑体" w:hAnsi="黑体" w:cs="黑体" w:hint="eastAsia"/>
                      <w:color w:val="000000"/>
                      <w:kern w:val="0"/>
                      <w:sz w:val="24"/>
                      <w:lang w:bidi="ar"/>
                    </w:rPr>
                    <w:t>表字段之间的代码项对应关系。显示代码项名称、代码条数、源系统名称、源系统代码值、标准代名称、标准代码值。</w:t>
                  </w:r>
                </w:p>
                <w:p w14:paraId="5C59A72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4.能够选择指标大类和指标小类以查看指标信息。展示指标的名称、业务口径、技术口径。用户应能够点击指标详情以查看指标的归属、指标大类、指标小类、度量单位信息和维度信息。</w:t>
                  </w:r>
                </w:p>
                <w:p w14:paraId="20CFEC5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5.支持展示运行中任务的数量以及不同数据层级（ODS、</w:t>
                  </w:r>
                  <w:proofErr w:type="spellStart"/>
                  <w:r>
                    <w:rPr>
                      <w:rFonts w:ascii="黑体" w:eastAsia="黑体" w:hAnsi="黑体" w:cs="黑体" w:hint="eastAsia"/>
                      <w:color w:val="000000"/>
                      <w:kern w:val="0"/>
                      <w:sz w:val="24"/>
                      <w:lang w:bidi="ar"/>
                    </w:rPr>
                    <w:t>DWD</w:t>
                  </w:r>
                  <w:proofErr w:type="spellEnd"/>
                  <w:r>
                    <w:rPr>
                      <w:rFonts w:ascii="黑体" w:eastAsia="黑体" w:hAnsi="黑体" w:cs="黑体" w:hint="eastAsia"/>
                      <w:color w:val="000000"/>
                      <w:kern w:val="0"/>
                      <w:sz w:val="24"/>
                      <w:lang w:bidi="ar"/>
                    </w:rPr>
                    <w:t>、</w:t>
                  </w:r>
                  <w:proofErr w:type="spellStart"/>
                  <w:r>
                    <w:rPr>
                      <w:rFonts w:ascii="黑体" w:eastAsia="黑体" w:hAnsi="黑体" w:cs="黑体" w:hint="eastAsia"/>
                      <w:color w:val="000000"/>
                      <w:kern w:val="0"/>
                      <w:sz w:val="24"/>
                      <w:lang w:bidi="ar"/>
                    </w:rPr>
                    <w:t>DWB</w:t>
                  </w:r>
                  <w:proofErr w:type="spellEnd"/>
                  <w:r>
                    <w:rPr>
                      <w:rFonts w:ascii="黑体" w:eastAsia="黑体" w:hAnsi="黑体" w:cs="黑体" w:hint="eastAsia"/>
                      <w:color w:val="000000"/>
                      <w:kern w:val="0"/>
                      <w:sz w:val="24"/>
                      <w:lang w:bidi="ar"/>
                    </w:rPr>
                    <w:t>、</w:t>
                  </w:r>
                  <w:proofErr w:type="spellStart"/>
                  <w:r>
                    <w:rPr>
                      <w:rFonts w:ascii="黑体" w:eastAsia="黑体" w:hAnsi="黑体" w:cs="黑体" w:hint="eastAsia"/>
                      <w:color w:val="000000"/>
                      <w:kern w:val="0"/>
                      <w:sz w:val="24"/>
                      <w:lang w:bidi="ar"/>
                    </w:rPr>
                    <w:t>DWS</w:t>
                  </w:r>
                  <w:proofErr w:type="spellEnd"/>
                  <w:r>
                    <w:rPr>
                      <w:rFonts w:ascii="黑体" w:eastAsia="黑体" w:hAnsi="黑体" w:cs="黑体" w:hint="eastAsia"/>
                      <w:color w:val="000000"/>
                      <w:kern w:val="0"/>
                      <w:sz w:val="24"/>
                      <w:lang w:bidi="ar"/>
                    </w:rPr>
                    <w:t>、APP）的任务数量。提供任务的详细信息，包括任务名称、来源系统、更新周期等。用户应能够查看单一任务的任务名称、任务层级、系统名称、执行脚本名称、脚本路径、任务结果表、任务类型。</w:t>
                  </w:r>
                </w:p>
                <w:p w14:paraId="274786D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6.能够查看组织机构的归属。展示用户角色和权限，以及单一用户的详细信息，包括用户姓名、性别、民族、登录账户、密码、手机号、邮箱、证件类型和身份证号。提供角色权限和应用权限的详细信息。</w:t>
                  </w:r>
                </w:p>
                <w:p w14:paraId="02DBD96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展示主机节点的数量，包括物理节点和云资源池节点。用户应能够查看使用的主机的详细信息，包括主机IP、操作系统、端口号、系统用户、用户密码、配置信息。提供单一主机的详细信息，包括主机名称、主机描述、</w:t>
                  </w:r>
                  <w:proofErr w:type="spellStart"/>
                  <w:r>
                    <w:rPr>
                      <w:rFonts w:ascii="黑体" w:eastAsia="黑体" w:hAnsi="黑体" w:cs="黑体" w:hint="eastAsia"/>
                      <w:color w:val="000000"/>
                      <w:kern w:val="0"/>
                      <w:sz w:val="24"/>
                      <w:lang w:bidi="ar"/>
                    </w:rPr>
                    <w:t>SSD</w:t>
                  </w:r>
                  <w:proofErr w:type="spellEnd"/>
                  <w:r>
                    <w:rPr>
                      <w:rFonts w:ascii="黑体" w:eastAsia="黑体" w:hAnsi="黑体" w:cs="黑体" w:hint="eastAsia"/>
                      <w:color w:val="000000"/>
                      <w:kern w:val="0"/>
                      <w:sz w:val="24"/>
                      <w:lang w:bidi="ar"/>
                    </w:rPr>
                    <w:t>硬盘数、</w:t>
                  </w:r>
                  <w:proofErr w:type="spellStart"/>
                  <w:r>
                    <w:rPr>
                      <w:rFonts w:ascii="黑体" w:eastAsia="黑体" w:hAnsi="黑体" w:cs="黑体" w:hint="eastAsia"/>
                      <w:color w:val="000000"/>
                      <w:kern w:val="0"/>
                      <w:sz w:val="24"/>
                      <w:lang w:bidi="ar"/>
                    </w:rPr>
                    <w:t>SSD</w:t>
                  </w:r>
                  <w:proofErr w:type="spellEnd"/>
                  <w:r>
                    <w:rPr>
                      <w:rFonts w:ascii="黑体" w:eastAsia="黑体" w:hAnsi="黑体" w:cs="黑体" w:hint="eastAsia"/>
                      <w:color w:val="000000"/>
                      <w:kern w:val="0"/>
                      <w:sz w:val="24"/>
                      <w:lang w:bidi="ar"/>
                    </w:rPr>
                    <w:t>硬盘容量、HD硬盘数、HDD硬盘容量、内存容量、系统名称、生产厂商、主机品牌、创建时间和修改时间。</w:t>
                  </w:r>
                </w:p>
                <w:p w14:paraId="3A8DDE79"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8.支持展示不同类型数据库的数量，包括Oracle、PostgreSQL、MySQL和</w:t>
                  </w:r>
                  <w:proofErr w:type="spellStart"/>
                  <w:r>
                    <w:rPr>
                      <w:rFonts w:ascii="黑体" w:eastAsia="黑体" w:hAnsi="黑体" w:cs="黑体" w:hint="eastAsia"/>
                      <w:color w:val="000000"/>
                      <w:kern w:val="0"/>
                      <w:sz w:val="24"/>
                      <w:lang w:bidi="ar"/>
                    </w:rPr>
                    <w:t>HBase</w:t>
                  </w:r>
                  <w:proofErr w:type="spellEnd"/>
                  <w:r>
                    <w:rPr>
                      <w:rFonts w:ascii="黑体" w:eastAsia="黑体" w:hAnsi="黑体" w:cs="黑体" w:hint="eastAsia"/>
                      <w:color w:val="000000"/>
                      <w:kern w:val="0"/>
                      <w:sz w:val="24"/>
                      <w:lang w:bidi="ar"/>
                    </w:rPr>
                    <w:t>等。用户应能够查看使用的数据库列表，包括数据库地址、数据库类型、端口、schema、数据库用户和数据库密码。提供单一数据库的IP列表。</w:t>
                  </w:r>
                </w:p>
              </w:tc>
            </w:tr>
            <w:tr w:rsidR="00530312" w14:paraId="4E80A5BF" w14:textId="77777777">
              <w:trPr>
                <w:trHeight w:val="329"/>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00A821"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基础大数据平台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00571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1.支持展示集群别名、集群整体状态、Hadoop版本等信息，集群操作支持启动、停止、重启集群的功能。集群重命名</w:t>
                  </w:r>
                  <w:proofErr w:type="gramStart"/>
                  <w:r>
                    <w:rPr>
                      <w:rFonts w:ascii="黑体" w:eastAsia="黑体" w:hAnsi="黑体" w:cs="黑体" w:hint="eastAsia"/>
                      <w:color w:val="000000"/>
                      <w:kern w:val="0"/>
                      <w:sz w:val="24"/>
                      <w:lang w:bidi="ar"/>
                    </w:rPr>
                    <w:t>提供弹窗以</w:t>
                  </w:r>
                  <w:proofErr w:type="gramEnd"/>
                  <w:r>
                    <w:rPr>
                      <w:rFonts w:ascii="黑体" w:eastAsia="黑体" w:hAnsi="黑体" w:cs="黑体" w:hint="eastAsia"/>
                      <w:color w:val="000000"/>
                      <w:kern w:val="0"/>
                      <w:sz w:val="24"/>
                      <w:lang w:bidi="ar"/>
                    </w:rPr>
                    <w:t>允许重命名集群别名，并在提交后生效。集群历史命令查看支持跳转至历史命令列表页面，包括当前运行命令和历史命令列表。支持查看当前运行命令及其执行详情。展示历史命令名称、命令状态、启动时间，并提供命令执行的详细信息。</w:t>
                  </w:r>
                </w:p>
                <w:p w14:paraId="5489E34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w:t>
                  </w:r>
                  <w:proofErr w:type="gramStart"/>
                  <w:r>
                    <w:rPr>
                      <w:rFonts w:ascii="黑体" w:eastAsia="黑体" w:hAnsi="黑体" w:cs="黑体" w:hint="eastAsia"/>
                      <w:color w:val="000000"/>
                      <w:kern w:val="0"/>
                      <w:sz w:val="24"/>
                      <w:lang w:bidi="ar"/>
                    </w:rPr>
                    <w:t>展示总</w:t>
                  </w:r>
                  <w:proofErr w:type="gramEnd"/>
                  <w:r>
                    <w:rPr>
                      <w:rFonts w:ascii="黑体" w:eastAsia="黑体" w:hAnsi="黑体" w:cs="黑体" w:hint="eastAsia"/>
                      <w:color w:val="000000"/>
                      <w:kern w:val="0"/>
                      <w:sz w:val="24"/>
                      <w:lang w:bidi="ar"/>
                    </w:rPr>
                    <w:t>节点数及正在运行的节点数。支持</w:t>
                  </w:r>
                  <w:proofErr w:type="gramStart"/>
                  <w:r>
                    <w:rPr>
                      <w:rFonts w:ascii="黑体" w:eastAsia="黑体" w:hAnsi="黑体" w:cs="黑体" w:hint="eastAsia"/>
                      <w:color w:val="000000"/>
                      <w:kern w:val="0"/>
                      <w:sz w:val="24"/>
                      <w:lang w:bidi="ar"/>
                    </w:rPr>
                    <w:t>展示总</w:t>
                  </w:r>
                  <w:proofErr w:type="gramEnd"/>
                  <w:r>
                    <w:rPr>
                      <w:rFonts w:ascii="黑体" w:eastAsia="黑体" w:hAnsi="黑体" w:cs="黑体" w:hint="eastAsia"/>
                      <w:color w:val="000000"/>
                      <w:kern w:val="0"/>
                      <w:sz w:val="24"/>
                      <w:lang w:bidi="ar"/>
                    </w:rPr>
                    <w:t>服务数及正在运行的服务数。支持展示集群CPU、磁盘IO、网络IO、</w:t>
                  </w:r>
                  <w:proofErr w:type="spellStart"/>
                  <w:r>
                    <w:rPr>
                      <w:rFonts w:ascii="黑体" w:eastAsia="黑体" w:hAnsi="黑体" w:cs="黑体" w:hint="eastAsia"/>
                      <w:color w:val="000000"/>
                      <w:kern w:val="0"/>
                      <w:sz w:val="24"/>
                      <w:lang w:bidi="ar"/>
                    </w:rPr>
                    <w:t>HDFS</w:t>
                  </w:r>
                  <w:proofErr w:type="spellEnd"/>
                  <w:r>
                    <w:rPr>
                      <w:rFonts w:ascii="黑体" w:eastAsia="黑体" w:hAnsi="黑体" w:cs="黑体" w:hint="eastAsia"/>
                      <w:color w:val="000000"/>
                      <w:kern w:val="0"/>
                      <w:sz w:val="24"/>
                      <w:lang w:bidi="ar"/>
                    </w:rPr>
                    <w:t xml:space="preserve"> IO等图表信息，支持选择时间段进行查看。支持展示每个节点的名称、运行状态、所属集群信息。允许点击对应节点的节点配置按钮，跳转至对应节点的配置页面。</w:t>
                  </w:r>
                </w:p>
                <w:p w14:paraId="0ABC8CC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3.支持展示集群别名、集群整体状态、Hadoop版本等信息。支持节点概况监控</w:t>
                  </w:r>
                  <w:proofErr w:type="gramStart"/>
                  <w:r>
                    <w:rPr>
                      <w:rFonts w:ascii="黑体" w:eastAsia="黑体" w:hAnsi="黑体" w:cs="黑体" w:hint="eastAsia"/>
                      <w:color w:val="000000"/>
                      <w:kern w:val="0"/>
                      <w:sz w:val="24"/>
                      <w:lang w:bidi="ar"/>
                    </w:rPr>
                    <w:t>展</w:t>
                  </w:r>
                  <w:r>
                    <w:rPr>
                      <w:rFonts w:ascii="黑体" w:eastAsia="黑体" w:hAnsi="黑体" w:cs="黑体" w:hint="eastAsia"/>
                      <w:color w:val="000000"/>
                      <w:kern w:val="0"/>
                      <w:sz w:val="24"/>
                      <w:lang w:bidi="ar"/>
                    </w:rPr>
                    <w:lastRenderedPageBreak/>
                    <w:t>示总</w:t>
                  </w:r>
                  <w:proofErr w:type="gramEnd"/>
                  <w:r>
                    <w:rPr>
                      <w:rFonts w:ascii="黑体" w:eastAsia="黑体" w:hAnsi="黑体" w:cs="黑体" w:hint="eastAsia"/>
                      <w:color w:val="000000"/>
                      <w:kern w:val="0"/>
                      <w:sz w:val="24"/>
                      <w:lang w:bidi="ar"/>
                    </w:rPr>
                    <w:t>节点数及正在运行的节点数。支持</w:t>
                  </w:r>
                  <w:proofErr w:type="gramStart"/>
                  <w:r>
                    <w:rPr>
                      <w:rFonts w:ascii="黑体" w:eastAsia="黑体" w:hAnsi="黑体" w:cs="黑体" w:hint="eastAsia"/>
                      <w:color w:val="000000"/>
                      <w:kern w:val="0"/>
                      <w:sz w:val="24"/>
                      <w:lang w:bidi="ar"/>
                    </w:rPr>
                    <w:t>展示总</w:t>
                  </w:r>
                  <w:proofErr w:type="gramEnd"/>
                  <w:r>
                    <w:rPr>
                      <w:rFonts w:ascii="黑体" w:eastAsia="黑体" w:hAnsi="黑体" w:cs="黑体" w:hint="eastAsia"/>
                      <w:color w:val="000000"/>
                      <w:kern w:val="0"/>
                      <w:sz w:val="24"/>
                      <w:lang w:bidi="ar"/>
                    </w:rPr>
                    <w:t>服务数及正在运行的服务数。集群详情图表支持展示集群CPU、磁盘IO、网络IO、</w:t>
                  </w:r>
                  <w:proofErr w:type="spellStart"/>
                  <w:r>
                    <w:rPr>
                      <w:rFonts w:ascii="黑体" w:eastAsia="黑体" w:hAnsi="黑体" w:cs="黑体" w:hint="eastAsia"/>
                      <w:color w:val="000000"/>
                      <w:kern w:val="0"/>
                      <w:sz w:val="24"/>
                      <w:lang w:bidi="ar"/>
                    </w:rPr>
                    <w:t>HDFS</w:t>
                  </w:r>
                  <w:proofErr w:type="spellEnd"/>
                  <w:r>
                    <w:rPr>
                      <w:rFonts w:ascii="黑体" w:eastAsia="黑体" w:hAnsi="黑体" w:cs="黑体" w:hint="eastAsia"/>
                      <w:color w:val="000000"/>
                      <w:kern w:val="0"/>
                      <w:sz w:val="24"/>
                      <w:lang w:bidi="ar"/>
                    </w:rPr>
                    <w:t xml:space="preserve"> IO等图表信息，支持选择时间段进行查看。支持节点状态查看展示每个节点的名称、运行状态、所属集群信息。支持服务状态查看：展示每个服务的服务名称、运行状态、所属集群。</w:t>
                  </w:r>
                </w:p>
                <w:p w14:paraId="04A5CFD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w:t>
                  </w:r>
                  <w:proofErr w:type="gramStart"/>
                  <w:r>
                    <w:rPr>
                      <w:rFonts w:ascii="黑体" w:eastAsia="黑体" w:hAnsi="黑体" w:cs="黑体" w:hint="eastAsia"/>
                      <w:color w:val="000000"/>
                      <w:kern w:val="0"/>
                      <w:sz w:val="24"/>
                      <w:lang w:bidi="ar"/>
                    </w:rPr>
                    <w:t>展示总</w:t>
                  </w:r>
                  <w:proofErr w:type="gramEnd"/>
                  <w:r>
                    <w:rPr>
                      <w:rFonts w:ascii="黑体" w:eastAsia="黑体" w:hAnsi="黑体" w:cs="黑体" w:hint="eastAsia"/>
                      <w:color w:val="000000"/>
                      <w:kern w:val="0"/>
                      <w:sz w:val="24"/>
                      <w:lang w:bidi="ar"/>
                    </w:rPr>
                    <w:t>服务数、正常服务数、异常服务数。支持异常运行服务概况查看，展示异常运行服务的服务名称、运行状态、所属集群信息。支持正常运行服务概况查看，展示正常运行服务的服务名称、运行状态、所属集群信息。支持服务基本信息查看，允许点击服务详情按钮跳转，页面分为服务信息及图表展示，包括服务名称、角色总数、正常服务数、异常服务数。支持服务运行状况列表查看，展示服务的运行状况明细，包括时间、运行状态，支持点击显示按钮查看明细信息。</w:t>
                  </w:r>
                </w:p>
                <w:p w14:paraId="11B2DBF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服务运行状况明细查看，支持点击显示按钮，在弹窗中显示该时间点的服务运行状况明细信息。支持服务实例信息列表查看，展示服务实例信息列表，包括角色类型、角色状态、所属节点、所属角色组。支持服务相关信息图表查看，展示关键事件和警报、重要事件和警报、运行状况、Canary持续时间、已用CPU内核等信息，支持选择时间段进行针对性查看。</w:t>
                  </w:r>
                </w:p>
                <w:p w14:paraId="6AB76FD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6.支持节点信息列表查看：展示所有节点的节点名称、状态、所属集群、机架、IP、内核数、</w:t>
                  </w:r>
                  <w:proofErr w:type="spellStart"/>
                  <w:r>
                    <w:rPr>
                      <w:rFonts w:ascii="黑体" w:eastAsia="黑体" w:hAnsi="黑体" w:cs="黑体" w:hint="eastAsia"/>
                      <w:color w:val="000000"/>
                      <w:kern w:val="0"/>
                      <w:sz w:val="24"/>
                      <w:lang w:bidi="ar"/>
                    </w:rPr>
                    <w:t>CDH</w:t>
                  </w:r>
                  <w:proofErr w:type="spellEnd"/>
                  <w:r>
                    <w:rPr>
                      <w:rFonts w:ascii="黑体" w:eastAsia="黑体" w:hAnsi="黑体" w:cs="黑体" w:hint="eastAsia"/>
                      <w:color w:val="000000"/>
                      <w:kern w:val="0"/>
                      <w:sz w:val="24"/>
                      <w:lang w:bidi="ar"/>
                    </w:rPr>
                    <w:t>版本、磁盘使用、物理内容、交换空间信息，支持点击详情按钮跳转至对应节点的详情信息页面。支持磁盘信息图表查看，展示磁盘IO利用率、磁盘平均队列长度、磁盘服务时间等13个相关磁盘的图表信息，支持选择时间段进行查看。</w:t>
                  </w:r>
                </w:p>
                <w:p w14:paraId="0136B96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7.支持单节点信息查看，展示节点的名称、IP、</w:t>
                  </w:r>
                  <w:proofErr w:type="spellStart"/>
                  <w:r>
                    <w:rPr>
                      <w:rFonts w:ascii="黑体" w:eastAsia="黑体" w:hAnsi="黑体" w:cs="黑体" w:hint="eastAsia"/>
                      <w:color w:val="000000"/>
                      <w:kern w:val="0"/>
                      <w:sz w:val="24"/>
                      <w:lang w:bidi="ar"/>
                    </w:rPr>
                    <w:t>CDH</w:t>
                  </w:r>
                  <w:proofErr w:type="spellEnd"/>
                  <w:r>
                    <w:rPr>
                      <w:rFonts w:ascii="黑体" w:eastAsia="黑体" w:hAnsi="黑体" w:cs="黑体" w:hint="eastAsia"/>
                      <w:color w:val="000000"/>
                      <w:kern w:val="0"/>
                      <w:sz w:val="24"/>
                      <w:lang w:bidi="ar"/>
                    </w:rPr>
                    <w:t>版本、节点内核、节点系统、内存大小等基本信息。支持单节点运行状况明细查看，展示该节点在过去时间段的运行状态。支持磁盘信息查看，展示该节点的磁盘使用情况，展示磁盘每个地址的使用情况。支持节点明细图表查看，展示节点重要事件和警报、运行状况、聚合磁盘吞吐量等12个图表信息，支持选择时间段进行针对性查看。</w:t>
                  </w:r>
                </w:p>
                <w:p w14:paraId="553BA0E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服务列表选择，展示当前集群所对应的所有服务名称，点击后配置服务模块显示该服务所对应的配置信息，同时展示该服务下可配置的实例列表。支持实例列表选择，点击服务实例，在配置服务模块展示该实例所对应的配置信息。</w:t>
                  </w:r>
                </w:p>
                <w:p w14:paraId="029A0C9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9.支持配置信息修改及保存，支持点击服务进行配置也可以点击服务的实例进行</w:t>
                  </w:r>
                  <w:r>
                    <w:rPr>
                      <w:rFonts w:ascii="黑体" w:eastAsia="黑体" w:hAnsi="黑体" w:cs="黑体" w:hint="eastAsia"/>
                      <w:color w:val="000000"/>
                      <w:kern w:val="0"/>
                      <w:sz w:val="24"/>
                      <w:lang w:bidi="ar"/>
                    </w:rPr>
                    <w:lastRenderedPageBreak/>
                    <w:t>配置，修改完成后点击保存设置生效。</w:t>
                  </w:r>
                </w:p>
                <w:p w14:paraId="1E11AFB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10.支持节点选择，点击选定节点，在配置节点模块展示该节点所对应的所有配置信息。支持配置信息修改及保存，修改节点信息后，点击保存配置设置生效。</w:t>
                  </w:r>
                </w:p>
                <w:p w14:paraId="697E323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11.支持展示资源分配详情，展示节点的名称、权重占比、最小资源数、最大资源数、计划策略、正在运行的应用程序最大数量等信息。支持</w:t>
                  </w:r>
                  <w:proofErr w:type="gramStart"/>
                  <w:r>
                    <w:rPr>
                      <w:rFonts w:ascii="黑体" w:eastAsia="黑体" w:hAnsi="黑体" w:cs="黑体" w:hint="eastAsia"/>
                      <w:color w:val="000000"/>
                      <w:kern w:val="0"/>
                      <w:sz w:val="24"/>
                      <w:lang w:bidi="ar"/>
                    </w:rPr>
                    <w:t>新增子池添加</w:t>
                  </w:r>
                  <w:proofErr w:type="gramEnd"/>
                  <w:r>
                    <w:rPr>
                      <w:rFonts w:ascii="黑体" w:eastAsia="黑体" w:hAnsi="黑体" w:cs="黑体" w:hint="eastAsia"/>
                      <w:color w:val="000000"/>
                      <w:kern w:val="0"/>
                      <w:sz w:val="24"/>
                      <w:lang w:bidi="ar"/>
                    </w:rPr>
                    <w:t>新的租户资源。支持资源修改，可修改当前租户的信息（权重占比、最小资源数、最大资源数、计划策略）。</w:t>
                  </w:r>
                </w:p>
                <w:p w14:paraId="69557FF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12.支持资源删除可删除当前租户的信息。支持权限展示：用户、分组、角色、权限展示。支持角色管理：对用户、分组、角色、权限的增删改查。</w:t>
                  </w:r>
                </w:p>
                <w:p w14:paraId="2E9F3B9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13.支持展示集群别名、集群整体状态、Hadoop版本等信息。支持点击集群操作按钮，对集群进行启动、停止、重启操作。支持点击重命名按钮，在弹窗中对集群别名进行重命名，点击提交生效。</w:t>
                  </w:r>
                </w:p>
                <w:p w14:paraId="3E7E1CE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节点概况监控，展示总共节点数及正在运行的节点数。支持服务概况监控，展示总共服务数及正在运行的服务数。支持服务状态查看，展示每个服务的服务名称、运行状态、所属集群。支持服务操作，点击对应服务的操作按钮，对服务进行启动、停止、重启操作。</w:t>
                  </w:r>
                </w:p>
                <w:p w14:paraId="488B5F3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14.支持选择日志告警的时间范围，支持选择日志告警具体服务器节点。</w:t>
                  </w:r>
                </w:p>
                <w:p w14:paraId="7790E3D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支持选择日志告警的具体组件。支持选择日志告警的级别。支持根据关键字内容搜索日志告警。支持日志告警列表展示。</w:t>
                  </w:r>
                </w:p>
                <w:p w14:paraId="01A9EEAA"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15.支持根据关键字搜索用户。支持新增用户，为用户配置角色。支持为用户修改密码。支持展示用户名字、分组、创建时间、失效时间、生效状态、角色等信息。</w:t>
                  </w:r>
                </w:p>
              </w:tc>
            </w:tr>
            <w:tr w:rsidR="00530312" w14:paraId="06846156"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B15999"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数据安全管理平台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35238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1.支持展示数据已配置的脱敏、加密、水印、下载的数量。安全总</w:t>
                  </w:r>
                  <w:proofErr w:type="gramStart"/>
                  <w:r>
                    <w:rPr>
                      <w:rFonts w:ascii="黑体" w:eastAsia="黑体" w:hAnsi="黑体" w:cs="黑体" w:hint="eastAsia"/>
                      <w:color w:val="000000"/>
                      <w:kern w:val="0"/>
                      <w:sz w:val="24"/>
                      <w:lang w:bidi="ar"/>
                    </w:rPr>
                    <w:t>览</w:t>
                  </w:r>
                  <w:proofErr w:type="gramEnd"/>
                  <w:r>
                    <w:rPr>
                      <w:rFonts w:ascii="黑体" w:eastAsia="黑体" w:hAnsi="黑体" w:cs="黑体" w:hint="eastAsia"/>
                      <w:color w:val="000000"/>
                      <w:kern w:val="0"/>
                      <w:sz w:val="24"/>
                      <w:lang w:bidi="ar"/>
                    </w:rPr>
                    <w:t>页面应分别展示脱敏、加密、水印、下载的已配置事项，并提供修改已配置项的功能。</w:t>
                  </w:r>
                </w:p>
                <w:p w14:paraId="68C1B88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2.支持通过关键字搜索平台名称以获取包含检索内容的平台。需要配置下载流程的平台及下载内容应展示。</w:t>
                  </w:r>
                </w:p>
                <w:p w14:paraId="09D5BCF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3.支持配置下载流程，包括增加或删除流程节点，提交后，生成一条审批流程。配置流程过程中应支持重置操作。</w:t>
                  </w:r>
                </w:p>
                <w:p w14:paraId="07A3CA8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4.支持配置脱敏字段，用户能够对选中的字段进行脱敏模式和脱敏级别的配置，配置后在对应平台应立即生效。脱敏前后应有示例展现形式可供参考。</w:t>
                  </w:r>
                </w:p>
                <w:p w14:paraId="14639FC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5.支持展示需要加密的数据集，用户能够对选中的字段进行加密配置，支持AES</w:t>
                  </w:r>
                  <w:r>
                    <w:rPr>
                      <w:rFonts w:ascii="黑体" w:eastAsia="黑体" w:hAnsi="黑体" w:cs="黑体" w:hint="eastAsia"/>
                      <w:color w:val="000000"/>
                      <w:kern w:val="0"/>
                      <w:sz w:val="24"/>
                      <w:lang w:bidi="ar"/>
                    </w:rPr>
                    <w:lastRenderedPageBreak/>
                    <w:t>和DES两种加密模式，配置后应在数据订阅中生效。加密前后应有示例展现形式可供参考。</w:t>
                  </w:r>
                </w:p>
                <w:p w14:paraId="58D82EB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能分别展示脱敏、加密、下载、水印等相关敏感行为的次数和人数，并提供查看具体数据的功能。用户应能够选择日期进行日查询、月查询、年查询等操作。应以图表形式展示脱敏事项、加密事项的访问情况，以及下载访问事项的排行榜。支持展示用户的敏感行为统计信息，包括用户名、IP地址、操作事项、操作内容、操作时间。</w:t>
                  </w:r>
                </w:p>
                <w:p w14:paraId="4B027EF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7.支持配置敏感事项可作用的平台，在作用域下的平台应能够在</w:t>
                  </w:r>
                  <w:proofErr w:type="gramStart"/>
                  <w:r>
                    <w:rPr>
                      <w:rFonts w:ascii="黑体" w:eastAsia="黑体" w:hAnsi="黑体" w:cs="黑体" w:hint="eastAsia"/>
                      <w:color w:val="000000"/>
                      <w:kern w:val="0"/>
                      <w:sz w:val="24"/>
                      <w:lang w:bidi="ar"/>
                    </w:rPr>
                    <w:t>安全项</w:t>
                  </w:r>
                  <w:proofErr w:type="gramEnd"/>
                  <w:r>
                    <w:rPr>
                      <w:rFonts w:ascii="黑体" w:eastAsia="黑体" w:hAnsi="黑体" w:cs="黑体" w:hint="eastAsia"/>
                      <w:color w:val="000000"/>
                      <w:kern w:val="0"/>
                      <w:sz w:val="24"/>
                      <w:lang w:bidi="ar"/>
                    </w:rPr>
                    <w:t>配置里进行相关配置。</w:t>
                  </w:r>
                </w:p>
                <w:p w14:paraId="4CA44DE4"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8.支持打通权限管理模块，展示各个平台的访问权限情况。</w:t>
                  </w:r>
                </w:p>
              </w:tc>
            </w:tr>
            <w:tr w:rsidR="00530312" w14:paraId="5BFFB0F5" w14:textId="77777777">
              <w:trPr>
                <w:trHeight w:val="379"/>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E28E0E"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校级数据标准建设</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9122C9"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校级数据标准建设包括以下几个方面：对学校现有的六个主要部门（校务部（行政、人事、档案）、教务处、学生处、招生处、财务处、总务处）进行全面数据调研，确保与现有系统对接并实施数据治理措施，实现数据的分层存储和优化管理。前期将形成全面的数据现状报告和数据调研报告，详细描述现有数据情况和潜在问题，并提出改进建议和优化方案。在此基础上，制定并实施信息标准与规范，基于学校和国家标准，定制适用于学校的数据标准体系，确立统一的数据标准规范，实现数据的统一管理和共享，最终形成《重庆电信职业学院数据标准》。此外，还协助学校建立完善的数据管理办法和数据管理体系，确保数据的安全、完整性和可靠性，并提供详尽的文档，便于相关部门和人员理解和执行。</w:t>
                  </w:r>
                </w:p>
              </w:tc>
            </w:tr>
            <w:tr w:rsidR="00530312" w14:paraId="0F51996B" w14:textId="77777777">
              <w:trPr>
                <w:trHeight w:val="8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D62F93"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数据集成服务成</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9BDA2B"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集成服务成应包括以下内容：能将学校现有的约9个业务系统（如食堂运营平台、后勤水电系统、学工系统、教务系统、钉钉（人事）、门禁系统、OA系统、图书馆系统、财务系统等）的数据集成到数据湖中，负责对这些系统的数据进行全面识别、分析、抽取、加载和注释等工作。具体步骤包括：全面识别和分析业务系统的数据结构、数据类型和格式；设计并实施数据抽取和加载方案，确保数据完整、准确地导入数据湖；进行必要的数据清洗和转换，确保数据质量和一致性；为数据添加必要的注释和元数据信息，方便后续使用和管理；实施数据安全和权限控制措施，确保数据保密性和完整性；设计并实施数据同步和更新机制，保持数据湖中数据的及时性和准确性。</w:t>
                  </w:r>
                </w:p>
              </w:tc>
            </w:tr>
            <w:tr w:rsidR="00530312" w14:paraId="5378670E" w14:textId="77777777">
              <w:trPr>
                <w:trHeight w:val="94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6687C6"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数据清洗及标准化</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3DFBF7"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数据清洗及标准化的内容应包括以下几点：建设全域标准数据集，确保数据集的全面性和标准化，涵盖模型设计、数据清洗转换、历史数据留存和线下数据补充</w:t>
                  </w:r>
                  <w:r>
                    <w:rPr>
                      <w:rFonts w:ascii="黑体" w:eastAsia="黑体" w:hAnsi="黑体" w:cs="黑体" w:hint="eastAsia"/>
                      <w:color w:val="000000"/>
                      <w:kern w:val="0"/>
                      <w:sz w:val="24"/>
                      <w:lang w:bidi="ar"/>
                    </w:rPr>
                    <w:lastRenderedPageBreak/>
                    <w:t>等方面。具体步骤包括对数据进行彻底清洗和转换，处理缺失值、异常值、重复值等，确保数据准确性和完整性；规范数据命名、格式和单位，实现数据的一致性和可比性，提高其可用性和</w:t>
                  </w:r>
                  <w:proofErr w:type="gramStart"/>
                  <w:r>
                    <w:rPr>
                      <w:rFonts w:ascii="黑体" w:eastAsia="黑体" w:hAnsi="黑体" w:cs="黑体" w:hint="eastAsia"/>
                      <w:color w:val="000000"/>
                      <w:kern w:val="0"/>
                      <w:sz w:val="24"/>
                      <w:lang w:bidi="ar"/>
                    </w:rPr>
                    <w:t>可</w:t>
                  </w:r>
                  <w:proofErr w:type="gramEnd"/>
                  <w:r>
                    <w:rPr>
                      <w:rFonts w:ascii="黑体" w:eastAsia="黑体" w:hAnsi="黑体" w:cs="黑体" w:hint="eastAsia"/>
                      <w:color w:val="000000"/>
                      <w:kern w:val="0"/>
                      <w:sz w:val="24"/>
                      <w:lang w:bidi="ar"/>
                    </w:rPr>
                    <w:t>分析性；保留历史数据备份，确保数据的可追溯性和支持历史趋势分析；收集并整合线下数据，确保数据的全面性和完整性，提高数据覆盖范围和可信度；发布数据资产目录，记录和管理各个数据域的数据资产信息，方便数据查找和使用；构建多个主题</w:t>
                  </w:r>
                  <w:proofErr w:type="gramStart"/>
                  <w:r>
                    <w:rPr>
                      <w:rFonts w:ascii="黑体" w:eastAsia="黑体" w:hAnsi="黑体" w:cs="黑体" w:hint="eastAsia"/>
                      <w:color w:val="000000"/>
                      <w:kern w:val="0"/>
                      <w:sz w:val="24"/>
                      <w:lang w:bidi="ar"/>
                    </w:rPr>
                    <w:t>域基础</w:t>
                  </w:r>
                  <w:proofErr w:type="gramEnd"/>
                  <w:r>
                    <w:rPr>
                      <w:rFonts w:ascii="黑体" w:eastAsia="黑体" w:hAnsi="黑体" w:cs="黑体" w:hint="eastAsia"/>
                      <w:color w:val="000000"/>
                      <w:kern w:val="0"/>
                      <w:sz w:val="24"/>
                      <w:lang w:bidi="ar"/>
                    </w:rPr>
                    <w:t>数据仓库，覆盖学校各个方面，包括学校概况、教职工管理、教学管理、科研管理、资产管理、财务管理、办公管理和高校公共服务等领域。</w:t>
                  </w:r>
                </w:p>
              </w:tc>
            </w:tr>
            <w:tr w:rsidR="00530312" w14:paraId="4CD3BFB5" w14:textId="77777777">
              <w:trPr>
                <w:trHeight w:val="9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72DE93"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数据质量检查</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E5293E"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质量检查应包括以下内容：提供专题数据质量检查服务，针对建设的应用场景，使用自动化工具对食堂运营平台、后勤水电系统、学工系统、教务系统、钉钉（人事）、门禁系统、OA系统、图书馆系统、财务系统等部门的数据进行全面检查，确保数据的准确性、完整性、一致性和可靠性。服务流程规划包括需求确认、数据采集、数据质量检查、结果分析、报告编制和报告提交等环节，确保每一步都有有效的沟通和确认，保证检查的全面性和有效性。根据检查结果编制详细的数据质量检查报告，描述检查过程、发现的问题、分析结果和改进建议，报告应清晰明了且具操作性，便于业务部</w:t>
                  </w:r>
                  <w:proofErr w:type="gramStart"/>
                  <w:r>
                    <w:rPr>
                      <w:rFonts w:ascii="黑体" w:eastAsia="黑体" w:hAnsi="黑体" w:cs="黑体" w:hint="eastAsia"/>
                      <w:color w:val="000000"/>
                      <w:kern w:val="0"/>
                      <w:sz w:val="24"/>
                      <w:lang w:bidi="ar"/>
                    </w:rPr>
                    <w:t>门理解</w:t>
                  </w:r>
                  <w:proofErr w:type="gramEnd"/>
                  <w:r>
                    <w:rPr>
                      <w:rFonts w:ascii="黑体" w:eastAsia="黑体" w:hAnsi="黑体" w:cs="黑体" w:hint="eastAsia"/>
                      <w:color w:val="000000"/>
                      <w:kern w:val="0"/>
                      <w:sz w:val="24"/>
                      <w:lang w:bidi="ar"/>
                    </w:rPr>
                    <w:t>和执行。</w:t>
                  </w:r>
                </w:p>
              </w:tc>
            </w:tr>
            <w:tr w:rsidR="00530312" w14:paraId="2BB6FD87" w14:textId="77777777">
              <w:trPr>
                <w:trHeight w:val="4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C8F81"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数据接口迁移</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81734D"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投标人能够负责将学校现有数据交换功能中（包含不限于视图、API等）的所有上行接口和下行接口迁移到本项目中，并确保迁移后的数据交换功能的稳定性和可靠性。此外，明确迁移后数据交换的共享需求，包括数据格式、数据协议、接口调用频率等方面的要求，确保数据能够按时、准确地进行交换和共享。</w:t>
                  </w:r>
                </w:p>
              </w:tc>
            </w:tr>
            <w:tr w:rsidR="00530312" w14:paraId="4545D7EF" w14:textId="77777777">
              <w:trPr>
                <w:trHeight w:val="4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F41825"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数据可视化软件</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tbl>
                  <w:tblPr>
                    <w:tblW w:w="0" w:type="auto"/>
                    <w:tblLayout w:type="fixed"/>
                    <w:tblLook w:val="04A0" w:firstRow="1" w:lastRow="0" w:firstColumn="1" w:lastColumn="0" w:noHBand="0" w:noVBand="1"/>
                  </w:tblPr>
                  <w:tblGrid>
                    <w:gridCol w:w="8630"/>
                  </w:tblGrid>
                  <w:tr w:rsidR="00530312" w14:paraId="4A651F98" w14:textId="77777777">
                    <w:trPr>
                      <w:trHeight w:val="276"/>
                    </w:trPr>
                    <w:tc>
                      <w:tcPr>
                        <w:tcW w:w="8630" w:type="dxa"/>
                        <w:tcBorders>
                          <w:top w:val="nil"/>
                          <w:left w:val="nil"/>
                          <w:bottom w:val="single" w:sz="4" w:space="0" w:color="auto"/>
                          <w:right w:val="single" w:sz="4" w:space="0" w:color="auto"/>
                        </w:tcBorders>
                      </w:tcPr>
                      <w:p w14:paraId="15C857F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1.支持多种图表类型，包括但不限于折线图、柱状图、饼图、地图等。数据可视化应支持交互式功能，包括鼠标悬停和点击等操作。用户应能够自定义图表样式，包括颜色、字体、线条样式等。</w:t>
                        </w:r>
                      </w:p>
                      <w:p w14:paraId="1E5812B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2.支持自定义分析函数和公式，包括计算字段和汇总函数等。应支持进行数据预处理，包括数据清洗和处理</w:t>
                        </w:r>
                        <w:proofErr w:type="gramStart"/>
                        <w:r>
                          <w:rPr>
                            <w:rFonts w:ascii="黑体" w:eastAsia="黑体" w:hAnsi="黑体" w:cs="黑体" w:hint="eastAsia"/>
                            <w:color w:val="000000"/>
                            <w:kern w:val="0"/>
                            <w:sz w:val="24"/>
                            <w:lang w:bidi="ar"/>
                          </w:rPr>
                          <w:t>缺失值</w:t>
                        </w:r>
                        <w:proofErr w:type="gramEnd"/>
                        <w:r>
                          <w:rPr>
                            <w:rFonts w:ascii="黑体" w:eastAsia="黑体" w:hAnsi="黑体" w:cs="黑体" w:hint="eastAsia"/>
                            <w:color w:val="000000"/>
                            <w:kern w:val="0"/>
                            <w:sz w:val="24"/>
                            <w:lang w:bidi="ar"/>
                          </w:rPr>
                          <w:t>等操作。</w:t>
                        </w:r>
                      </w:p>
                      <w:p w14:paraId="3DBD5EC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3.支持多种数据源，包括关系型数据库、数据仓库、云端数据等。数据集成功能应包括数据转换和清洗，如数据格式转换和去重等。支持数据集成，包括数据同步和数据映射等功能。</w:t>
                        </w:r>
                      </w:p>
                      <w:p w14:paraId="5B40BCF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4.支持多种用户角色，包括管理员、普通用户、特殊用户等。用户权限控制应包括角色权限控制和字段权限控制等。支持多种数据共享方式，包括数据共享和数</w:t>
                        </w:r>
                        <w:r>
                          <w:rPr>
                            <w:rFonts w:ascii="黑体" w:eastAsia="黑体" w:hAnsi="黑体" w:cs="黑体" w:hint="eastAsia"/>
                            <w:color w:val="000000"/>
                            <w:kern w:val="0"/>
                            <w:sz w:val="24"/>
                            <w:lang w:bidi="ar"/>
                          </w:rPr>
                          <w:lastRenderedPageBreak/>
                          <w:t>据导出，用户应能够协作报表和数据。</w:t>
                        </w:r>
                      </w:p>
                      <w:p w14:paraId="509630DA" w14:textId="77777777" w:rsidR="00530312" w:rsidRDefault="005170F5">
                        <w:pPr>
                          <w:widowControl/>
                          <w:spacing w:line="360" w:lineRule="auto"/>
                          <w:jc w:val="left"/>
                          <w:textAlignment w:val="center"/>
                          <w:rPr>
                            <w:rFonts w:ascii="黑体" w:eastAsia="黑体" w:hAnsi="黑体" w:cs="黑体"/>
                            <w:kern w:val="0"/>
                            <w:szCs w:val="21"/>
                          </w:rPr>
                        </w:pPr>
                        <w:r>
                          <w:rPr>
                            <w:rFonts w:ascii="黑体" w:eastAsia="黑体" w:hAnsi="黑体" w:cs="黑体" w:hint="eastAsia"/>
                            <w:color w:val="000000"/>
                            <w:kern w:val="0"/>
                            <w:sz w:val="24"/>
                            <w:lang w:bidi="ar"/>
                          </w:rPr>
                          <w:t>5.支持数据加密，包括数据传输加密和数据存储加密。用户权限控制应包括角色权限控制和字段权限控制等。系统应支持数据备份，包括定时备份和手动备份。数据审计功能应包括数据访问日志和数据操作日志等。</w:t>
                        </w:r>
                      </w:p>
                    </w:tc>
                  </w:tr>
                </w:tbl>
                <w:p w14:paraId="557DF259" w14:textId="77777777" w:rsidR="00530312" w:rsidRDefault="00530312">
                  <w:pPr>
                    <w:widowControl/>
                    <w:spacing w:line="360" w:lineRule="auto"/>
                    <w:jc w:val="left"/>
                    <w:textAlignment w:val="center"/>
                    <w:rPr>
                      <w:rFonts w:ascii="黑体" w:eastAsia="黑体" w:hAnsi="黑体" w:cs="黑体"/>
                      <w:color w:val="000000"/>
                      <w:sz w:val="24"/>
                    </w:rPr>
                  </w:pPr>
                </w:p>
              </w:tc>
            </w:tr>
            <w:tr w:rsidR="00530312" w14:paraId="63FD7D68" w14:textId="77777777">
              <w:trPr>
                <w:trHeight w:val="122"/>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EF6DC3"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校级数据驾驶舱</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9A0C20" w14:textId="77777777" w:rsidR="00530312" w:rsidRDefault="005170F5">
                  <w:pPr>
                    <w:widowControl/>
                    <w:spacing w:line="360" w:lineRule="auto"/>
                    <w:jc w:val="left"/>
                    <w:textAlignment w:val="center"/>
                  </w:pPr>
                  <w:r>
                    <w:rPr>
                      <w:rFonts w:ascii="黑体" w:eastAsia="黑体" w:hAnsi="黑体" w:cs="黑体" w:hint="eastAsia"/>
                      <w:color w:val="000000"/>
                      <w:kern w:val="0"/>
                      <w:sz w:val="24"/>
                      <w:lang w:bidi="ar"/>
                    </w:rPr>
                    <w:t>校级驾驶舱进行的全方位剖析和审视，从校史沿革、基础数据、党建与思想政治工作、学科建设、师资队伍建设、人才培养、科研创新这几个方面对学校进行全面的回顾和整理，让所有教师对学校状况有直观的了解，</w:t>
                  </w:r>
                  <w:proofErr w:type="gramStart"/>
                  <w:r>
                    <w:rPr>
                      <w:rFonts w:ascii="黑体" w:eastAsia="黑体" w:hAnsi="黑体" w:cs="黑体" w:hint="eastAsia"/>
                      <w:color w:val="000000"/>
                      <w:kern w:val="0"/>
                      <w:sz w:val="24"/>
                      <w:lang w:bidi="ar"/>
                    </w:rPr>
                    <w:t>让校领导</w:t>
                  </w:r>
                  <w:proofErr w:type="gramEnd"/>
                  <w:r>
                    <w:rPr>
                      <w:rFonts w:ascii="黑体" w:eastAsia="黑体" w:hAnsi="黑体" w:cs="黑体" w:hint="eastAsia"/>
                      <w:color w:val="000000"/>
                      <w:kern w:val="0"/>
                      <w:sz w:val="24"/>
                      <w:lang w:bidi="ar"/>
                    </w:rPr>
                    <w:t>对学校的资源优势和发展空间有正确把握。主要功能有：校史沿革、学校基础数据展示（教研单位机构、校园面积、设备资产、学生规模、教师规模）、党建与思想政治工作（</w:t>
                  </w:r>
                  <w:proofErr w:type="gramStart"/>
                  <w:r>
                    <w:rPr>
                      <w:rFonts w:ascii="黑体" w:eastAsia="黑体" w:hAnsi="黑体" w:cs="黑体" w:hint="eastAsia"/>
                      <w:color w:val="000000"/>
                      <w:kern w:val="0"/>
                      <w:sz w:val="24"/>
                      <w:lang w:bidi="ar"/>
                    </w:rPr>
                    <w:t>校文明</w:t>
                  </w:r>
                  <w:proofErr w:type="gramEnd"/>
                  <w:r>
                    <w:rPr>
                      <w:rFonts w:ascii="黑体" w:eastAsia="黑体" w:hAnsi="黑体" w:cs="黑体" w:hint="eastAsia"/>
                      <w:color w:val="000000"/>
                      <w:kern w:val="0"/>
                      <w:sz w:val="24"/>
                      <w:lang w:bidi="ar"/>
                    </w:rPr>
                    <w:t>建设成果和奖项）、学科建设、师资队伍建设、人才培养、科研创新。</w:t>
                  </w:r>
                </w:p>
              </w:tc>
            </w:tr>
            <w:tr w:rsidR="00530312" w14:paraId="5E719474"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EAF763"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科研主题</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EA00C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1.学校发展概况：</w:t>
                  </w:r>
                </w:p>
                <w:p w14:paraId="64F00F1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各单位考核指标总体概况，用户在右上角选择年份，展示不同年份的考核信息，平均目标任务完成率、贡献奖励得分（总分）、负面扣减分值（总分）三个模块展示对应年份的考核总体情况，点击后实现考核类别的柱状图切换，模块下方选择不同单位考核对比信息，柱状图反映考核的对比情况，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w:t>
                  </w:r>
                </w:p>
                <w:p w14:paraId="06617CF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2）支持核心指标总体概况，提供八个模块：科研项目、论文（篇）、科研经费（万）、获奖、出版著作（</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）、教职工（</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），展示对应科研类别总体数量信息，通过点击模块，完成科研类别切换，展示对应模块的时间趋势或详细信息，核心指标时间趋势图，</w:t>
                  </w:r>
                  <w:proofErr w:type="gramStart"/>
                  <w:r>
                    <w:rPr>
                      <w:rFonts w:ascii="黑体" w:eastAsia="黑体" w:hAnsi="黑体" w:cs="黑体" w:hint="eastAsia"/>
                      <w:color w:val="000000"/>
                      <w:kern w:val="0"/>
                      <w:sz w:val="24"/>
                      <w:lang w:bidi="ar"/>
                    </w:rPr>
                    <w:t>点击近</w:t>
                  </w:r>
                  <w:proofErr w:type="gramEnd"/>
                  <w:r>
                    <w:rPr>
                      <w:rFonts w:ascii="黑体" w:eastAsia="黑体" w:hAnsi="黑体" w:cs="黑体" w:hint="eastAsia"/>
                      <w:color w:val="000000"/>
                      <w:kern w:val="0"/>
                      <w:sz w:val="24"/>
                      <w:lang w:bidi="ar"/>
                    </w:rPr>
                    <w:t>五年趋势、季度趋势、月度趋势按钮实现不同时间的数据展示，点击图例系列名可切换显示或隐藏，鼠标移动到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w:t>
                  </w:r>
                </w:p>
                <w:p w14:paraId="49AB96E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四大类项目指标总体概况，提供四个模块：科学研究、队伍建设、人才培养、国际合作，科学研究模块提供科研考核明细数据信息，点击科学研究下的目标任务、贡献奖励得分、负面扣减分值等实现指标总体概况列表切换。</w:t>
                  </w:r>
                </w:p>
                <w:p w14:paraId="16D3E90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2.学院发展概况：</w:t>
                  </w:r>
                </w:p>
                <w:p w14:paraId="2098293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各单位考核指标总体概况，用户根据需要选择对应的年份、全部学院以及单个学院。考核指标总体概括提供三个模块：平均目标任务完成率、贡献奖励得分（总分）、负面扣减分值（总分），提供考核指标数据，点击切换柱状图。柱状图反映考核的对比情况，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w:t>
                  </w:r>
                </w:p>
                <w:p w14:paraId="3E2D209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2）支持核心指标总体概况，提供八个模块：科研项目、论文（篇）、科研经费（万）、获奖、出版著作（</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）、教职工（</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），展示对应科研类别总体数量信息。通过点击模块，完成科研类别切换，展示对应模块的时间趋势或详细信息。核心指标时间趋势图，</w:t>
                  </w:r>
                  <w:proofErr w:type="gramStart"/>
                  <w:r>
                    <w:rPr>
                      <w:rFonts w:ascii="黑体" w:eastAsia="黑体" w:hAnsi="黑体" w:cs="黑体" w:hint="eastAsia"/>
                      <w:color w:val="000000"/>
                      <w:kern w:val="0"/>
                      <w:sz w:val="24"/>
                      <w:lang w:bidi="ar"/>
                    </w:rPr>
                    <w:t>点击近</w:t>
                  </w:r>
                  <w:proofErr w:type="gramEnd"/>
                  <w:r>
                    <w:rPr>
                      <w:rFonts w:ascii="黑体" w:eastAsia="黑体" w:hAnsi="黑体" w:cs="黑体" w:hint="eastAsia"/>
                      <w:color w:val="000000"/>
                      <w:kern w:val="0"/>
                      <w:sz w:val="24"/>
                      <w:lang w:bidi="ar"/>
                    </w:rPr>
                    <w:t>五年趋势、季度趋势、月度趋势按钮实现不同时间的数据展示，点击图例系列名可切换显示或隐藏，鼠标移动到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w:t>
                  </w:r>
                </w:p>
                <w:p w14:paraId="70D4B57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四大类项目指标总体概况，提供四个模块：科研研究、队伍建设、人才培养、国际合作，科学研究模块提供科研考核明细数据信息。点击科学研究下的目标任务、贡献奖励得分、负面扣减分值等实现指标总体概况列表切换。</w:t>
                  </w:r>
                </w:p>
                <w:p w14:paraId="27217DD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3.学科发展概况：</w:t>
                  </w:r>
                </w:p>
                <w:p w14:paraId="3018FF5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1）支持核心指标总体概况，提供八个模块：科研项目、论文（篇）、科研经费（万）、获奖、出版著作（</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）、教职工（</w:t>
                  </w:r>
                  <w:proofErr w:type="gramStart"/>
                  <w:r>
                    <w:rPr>
                      <w:rFonts w:ascii="黑体" w:eastAsia="黑体" w:hAnsi="黑体" w:cs="黑体" w:hint="eastAsia"/>
                      <w:color w:val="000000"/>
                      <w:kern w:val="0"/>
                      <w:sz w:val="24"/>
                      <w:lang w:bidi="ar"/>
                    </w:rPr>
                    <w:t>个</w:t>
                  </w:r>
                  <w:proofErr w:type="gramEnd"/>
                  <w:r>
                    <w:rPr>
                      <w:rFonts w:ascii="黑体" w:eastAsia="黑体" w:hAnsi="黑体" w:cs="黑体" w:hint="eastAsia"/>
                      <w:color w:val="000000"/>
                      <w:kern w:val="0"/>
                      <w:sz w:val="24"/>
                      <w:lang w:bidi="ar"/>
                    </w:rPr>
                    <w:t>）、学生（万），展示对应科研类别总体数量信息。通过点击模块，完成科研类别切换，展示对应模块的时间趋势或详细信息。核心指标时间趋势图，</w:t>
                  </w:r>
                  <w:proofErr w:type="gramStart"/>
                  <w:r>
                    <w:rPr>
                      <w:rFonts w:ascii="黑体" w:eastAsia="黑体" w:hAnsi="黑体" w:cs="黑体" w:hint="eastAsia"/>
                      <w:color w:val="000000"/>
                      <w:kern w:val="0"/>
                      <w:sz w:val="24"/>
                      <w:lang w:bidi="ar"/>
                    </w:rPr>
                    <w:t>点击近</w:t>
                  </w:r>
                  <w:proofErr w:type="gramEnd"/>
                  <w:r>
                    <w:rPr>
                      <w:rFonts w:ascii="黑体" w:eastAsia="黑体" w:hAnsi="黑体" w:cs="黑体" w:hint="eastAsia"/>
                      <w:color w:val="000000"/>
                      <w:kern w:val="0"/>
                      <w:sz w:val="24"/>
                      <w:lang w:bidi="ar"/>
                    </w:rPr>
                    <w:t>五年趋势、季度趋势、月度趋势按钮实现不同时间的数据展示，点击图例系列名可切换显示或隐藏，鼠标移动到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w:t>
                  </w:r>
                </w:p>
                <w:p w14:paraId="6CD15CC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2）支持学科投入产出总体概况，选择学科和月份进行搜索，展示学科投入产出明细数据列表。</w:t>
                  </w:r>
                </w:p>
                <w:p w14:paraId="1E08D83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3）支持人员投入产出概况，展示单个学科的个人投入和产出总体概况，选择输入教师姓名和年份</w:t>
                  </w:r>
                  <w:proofErr w:type="gramStart"/>
                  <w:r>
                    <w:rPr>
                      <w:rFonts w:ascii="黑体" w:eastAsia="黑体" w:hAnsi="黑体" w:cs="黑体" w:hint="eastAsia"/>
                      <w:color w:val="000000"/>
                      <w:kern w:val="0"/>
                      <w:sz w:val="24"/>
                      <w:lang w:bidi="ar"/>
                    </w:rPr>
                    <w:t>份</w:t>
                  </w:r>
                  <w:proofErr w:type="gramEnd"/>
                  <w:r>
                    <w:rPr>
                      <w:rFonts w:ascii="黑体" w:eastAsia="黑体" w:hAnsi="黑体" w:cs="黑体" w:hint="eastAsia"/>
                      <w:color w:val="000000"/>
                      <w:kern w:val="0"/>
                      <w:sz w:val="24"/>
                      <w:lang w:bidi="ar"/>
                    </w:rPr>
                    <w:t>进行搜索，展示人员参与项目、获得的经费投入、科研成果产出等信息。</w:t>
                  </w:r>
                </w:p>
                <w:p w14:paraId="4698210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4.专项发展概况：</w:t>
                  </w:r>
                </w:p>
                <w:p w14:paraId="0ABBAD1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1）支持科学研究，提供四个模块，科学研究、队伍建设、人才培养、国际合作等，其中科学研究展示科研数据。</w:t>
                  </w:r>
                </w:p>
                <w:p w14:paraId="036F6CF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选择项目类别金额统计和项目来源金额统计，展示不同项目属性的金额统计柱状图，点击图例系列名可切换显示或隐藏，鼠标移动到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上方可显示具有体值。选择近五年趋势、季度趋势、月度趋势，展示不同时间粒度的金额趋势。</w:t>
                  </w:r>
                </w:p>
                <w:p w14:paraId="51B2AAC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2）支持科研成果统计，展示不同类型科研成果明细数据。</w:t>
                  </w:r>
                </w:p>
                <w:p w14:paraId="30C8098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通过点击科研成果，展示相应类型的成果明细数据。</w:t>
                  </w:r>
                </w:p>
                <w:p w14:paraId="0BC3255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5.科研查询：</w:t>
                  </w:r>
                </w:p>
                <w:p w14:paraId="180C93CA"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支持科研信息查询，选择日期、学院、学科、项目大类、科研类别、人员属性，</w:t>
                  </w:r>
                  <w:r>
                    <w:rPr>
                      <w:rFonts w:ascii="黑体" w:eastAsia="黑体" w:hAnsi="黑体" w:cs="黑体" w:hint="eastAsia"/>
                      <w:color w:val="000000"/>
                      <w:kern w:val="0"/>
                      <w:sz w:val="24"/>
                      <w:lang w:bidi="ar"/>
                    </w:rPr>
                    <w:lastRenderedPageBreak/>
                    <w:t>之后点击查询按钮，展示不同科研类别明细数据。</w:t>
                  </w:r>
                </w:p>
              </w:tc>
            </w:tr>
            <w:tr w:rsidR="00530312" w14:paraId="1F6D1E92"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EF4D36"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教务主题</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161C0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查看招生学科和学院数量招生学科和学院数量。可根据不同学科领域和平培养层次进行招生趋势查询，下拉框选择对应数据，进行查询。使用柱状图展示学生招生数量趋势和同比数据，鼠标移动到对应年份显示该年招生人数和同比数据。可根据不同学科领域和平培养层次进行招生趋势查询，下拉框选择对应数据，进行查询。使用柱状图展示不同学制的招生数量，鼠标移动到对应年份显示对应年不同学制的人数和</w:t>
                  </w:r>
                  <w:proofErr w:type="gramStart"/>
                  <w:r>
                    <w:rPr>
                      <w:rFonts w:ascii="黑体" w:eastAsia="黑体" w:hAnsi="黑体" w:cs="黑体" w:hint="eastAsia"/>
                      <w:color w:val="000000"/>
                      <w:kern w:val="0"/>
                      <w:sz w:val="24"/>
                      <w:lang w:bidi="ar"/>
                    </w:rPr>
                    <w:t>总学生</w:t>
                  </w:r>
                  <w:proofErr w:type="gramEnd"/>
                  <w:r>
                    <w:rPr>
                      <w:rFonts w:ascii="黑体" w:eastAsia="黑体" w:hAnsi="黑体" w:cs="黑体" w:hint="eastAsia"/>
                      <w:color w:val="000000"/>
                      <w:kern w:val="0"/>
                      <w:sz w:val="24"/>
                      <w:lang w:bidi="ar"/>
                    </w:rPr>
                    <w:t>人数。</w:t>
                  </w:r>
                </w:p>
                <w:p w14:paraId="5AA7965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根据不同学科领域和平培养层次进行查询，下拉框选择对应数据，进行查询。使用柱状图展示，鼠标移动到对应年份显示学生在校数量。可根据不同学科领域和平培养层次进行查询，下拉框选择对应数据，进行查询。使用柱状图展示，鼠标移动到对应年份显示总在校数量和不同学制的在校数量数据。</w:t>
                  </w:r>
                </w:p>
                <w:p w14:paraId="6547C5A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3.支持根据不同学科领域和平培养层次进行查询，下拉框选择对应数据，进行查询。使用柱状图展示</w:t>
                  </w:r>
                  <w:proofErr w:type="gramStart"/>
                  <w:r>
                    <w:rPr>
                      <w:rFonts w:ascii="黑体" w:eastAsia="黑体" w:hAnsi="黑体" w:cs="黑体" w:hint="eastAsia"/>
                      <w:color w:val="000000"/>
                      <w:kern w:val="0"/>
                      <w:sz w:val="24"/>
                      <w:lang w:bidi="ar"/>
                    </w:rPr>
                    <w:t>学生师</w:t>
                  </w:r>
                  <w:proofErr w:type="gramEnd"/>
                  <w:r>
                    <w:rPr>
                      <w:rFonts w:ascii="黑体" w:eastAsia="黑体" w:hAnsi="黑体" w:cs="黑体" w:hint="eastAsia"/>
                      <w:color w:val="000000"/>
                      <w:kern w:val="0"/>
                      <w:sz w:val="24"/>
                      <w:lang w:bidi="ar"/>
                    </w:rPr>
                    <w:t>比，</w:t>
                  </w:r>
                  <w:proofErr w:type="gramStart"/>
                  <w:r>
                    <w:rPr>
                      <w:rFonts w:ascii="黑体" w:eastAsia="黑体" w:hAnsi="黑体" w:cs="黑体" w:hint="eastAsia"/>
                      <w:color w:val="000000"/>
                      <w:kern w:val="0"/>
                      <w:sz w:val="24"/>
                      <w:lang w:bidi="ar"/>
                    </w:rPr>
                    <w:t>不</w:t>
                  </w:r>
                  <w:proofErr w:type="gramEnd"/>
                  <w:r>
                    <w:rPr>
                      <w:rFonts w:ascii="黑体" w:eastAsia="黑体" w:hAnsi="黑体" w:cs="黑体" w:hint="eastAsia"/>
                      <w:color w:val="000000"/>
                      <w:kern w:val="0"/>
                      <w:sz w:val="24"/>
                      <w:lang w:bidi="ar"/>
                    </w:rPr>
                    <w:t>鼠标移动到对应年份显示对应年份的</w:t>
                  </w:r>
                  <w:proofErr w:type="gramStart"/>
                  <w:r>
                    <w:rPr>
                      <w:rFonts w:ascii="黑体" w:eastAsia="黑体" w:hAnsi="黑体" w:cs="黑体" w:hint="eastAsia"/>
                      <w:color w:val="000000"/>
                      <w:kern w:val="0"/>
                      <w:sz w:val="24"/>
                      <w:lang w:bidi="ar"/>
                    </w:rPr>
                    <w:t>学生师</w:t>
                  </w:r>
                  <w:proofErr w:type="gramEnd"/>
                  <w:r>
                    <w:rPr>
                      <w:rFonts w:ascii="黑体" w:eastAsia="黑体" w:hAnsi="黑体" w:cs="黑体" w:hint="eastAsia"/>
                      <w:color w:val="000000"/>
                      <w:kern w:val="0"/>
                      <w:sz w:val="24"/>
                      <w:lang w:bidi="ar"/>
                    </w:rPr>
                    <w:t>比和生师比同比。可根据不同学科领域和平培养层次进行查询，下拉框选择对应数据，进行查询。使用柱状图展示学生到时数量，鼠标移动到对应年份显示对应年份的导师数量。</w:t>
                  </w:r>
                </w:p>
                <w:p w14:paraId="6E9D0DA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4.支持查看学生专业、招生规模、在校生规模、毕业生数量。</w:t>
                  </w:r>
                </w:p>
                <w:p w14:paraId="68D2D87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5.支持使用饼状图展示学生招生不同等级专业统计数据，鼠标移动到不同的扇形区域显示对应等级专业的招生人数所占比例，</w:t>
                  </w:r>
                  <w:proofErr w:type="gramStart"/>
                  <w:r>
                    <w:rPr>
                      <w:rFonts w:ascii="黑体" w:eastAsia="黑体" w:hAnsi="黑体" w:cs="黑体" w:hint="eastAsia"/>
                      <w:color w:val="000000"/>
                      <w:kern w:val="0"/>
                      <w:sz w:val="24"/>
                      <w:lang w:bidi="ar"/>
                    </w:rPr>
                    <w:t>在饼图右侧</w:t>
                  </w:r>
                  <w:proofErr w:type="gramEnd"/>
                  <w:r>
                    <w:rPr>
                      <w:rFonts w:ascii="黑体" w:eastAsia="黑体" w:hAnsi="黑体" w:cs="黑体" w:hint="eastAsia"/>
                      <w:color w:val="000000"/>
                      <w:kern w:val="0"/>
                      <w:sz w:val="24"/>
                      <w:lang w:bidi="ar"/>
                    </w:rPr>
                    <w:t>展示不同等级专业（国家级专业、省级专业、其他）的人数和比例数据。使用饼状图展示学生</w:t>
                  </w:r>
                  <w:proofErr w:type="gramStart"/>
                  <w:r>
                    <w:rPr>
                      <w:rFonts w:ascii="黑体" w:eastAsia="黑体" w:hAnsi="黑体" w:cs="黑体" w:hint="eastAsia"/>
                      <w:color w:val="000000"/>
                      <w:kern w:val="0"/>
                      <w:sz w:val="24"/>
                      <w:lang w:bidi="ar"/>
                    </w:rPr>
                    <w:t>生</w:t>
                  </w:r>
                  <w:proofErr w:type="gramEnd"/>
                  <w:r>
                    <w:rPr>
                      <w:rFonts w:ascii="黑体" w:eastAsia="黑体" w:hAnsi="黑体" w:cs="黑体" w:hint="eastAsia"/>
                      <w:color w:val="000000"/>
                      <w:kern w:val="0"/>
                      <w:sz w:val="24"/>
                      <w:lang w:bidi="ar"/>
                    </w:rPr>
                    <w:t>不同等级开设课程统计数据，鼠标移动到不同的扇形区域显示对应等级课程的学生人数所占比例，</w:t>
                  </w:r>
                  <w:proofErr w:type="gramStart"/>
                  <w:r>
                    <w:rPr>
                      <w:rFonts w:ascii="黑体" w:eastAsia="黑体" w:hAnsi="黑体" w:cs="黑体" w:hint="eastAsia"/>
                      <w:color w:val="000000"/>
                      <w:kern w:val="0"/>
                      <w:sz w:val="24"/>
                      <w:lang w:bidi="ar"/>
                    </w:rPr>
                    <w:t>在饼图右侧</w:t>
                  </w:r>
                  <w:proofErr w:type="gramEnd"/>
                  <w:r>
                    <w:rPr>
                      <w:rFonts w:ascii="黑体" w:eastAsia="黑体" w:hAnsi="黑体" w:cs="黑体" w:hint="eastAsia"/>
                      <w:color w:val="000000"/>
                      <w:kern w:val="0"/>
                      <w:sz w:val="24"/>
                      <w:lang w:bidi="ar"/>
                    </w:rPr>
                    <w:t>展示不同课程（国家级课程。省级课程、校级课程、其他）的人数和比例数据。可以查看教学实验室情况：如教学实验示范中心国、级和省级个数等。</w:t>
                  </w:r>
                </w:p>
                <w:p w14:paraId="3FC42EF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6.支持查看教学名师的获奖人数和获奖人次、教学团队名称和数量。</w:t>
                  </w:r>
                </w:p>
                <w:p w14:paraId="22AB6E0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w:t>
                  </w:r>
                  <w:proofErr w:type="gramStart"/>
                  <w:r>
                    <w:rPr>
                      <w:rFonts w:ascii="黑体" w:eastAsia="黑体" w:hAnsi="黑体" w:cs="黑体" w:hint="eastAsia"/>
                      <w:color w:val="000000"/>
                      <w:kern w:val="0"/>
                      <w:sz w:val="24"/>
                      <w:lang w:bidi="ar"/>
                    </w:rPr>
                    <w:t>使用饼图展示</w:t>
                  </w:r>
                  <w:proofErr w:type="gramEnd"/>
                  <w:r>
                    <w:rPr>
                      <w:rFonts w:ascii="黑体" w:eastAsia="黑体" w:hAnsi="黑体" w:cs="黑体" w:hint="eastAsia"/>
                      <w:color w:val="000000"/>
                      <w:kern w:val="0"/>
                      <w:sz w:val="24"/>
                      <w:lang w:bidi="ar"/>
                    </w:rPr>
                    <w:t>不同等级成果的获奖等级数据。鼠标移动到对应扇形区域显示对应获奖等级数量所占比例，</w:t>
                  </w:r>
                  <w:proofErr w:type="gramStart"/>
                  <w:r>
                    <w:rPr>
                      <w:rFonts w:ascii="黑体" w:eastAsia="黑体" w:hAnsi="黑体" w:cs="黑体" w:hint="eastAsia"/>
                      <w:color w:val="000000"/>
                      <w:kern w:val="0"/>
                      <w:sz w:val="24"/>
                      <w:lang w:bidi="ar"/>
                    </w:rPr>
                    <w:t>右侧示不同</w:t>
                  </w:r>
                  <w:proofErr w:type="gramEnd"/>
                  <w:r>
                    <w:rPr>
                      <w:rFonts w:ascii="黑体" w:eastAsia="黑体" w:hAnsi="黑体" w:cs="黑体" w:hint="eastAsia"/>
                      <w:color w:val="000000"/>
                      <w:kern w:val="0"/>
                      <w:sz w:val="24"/>
                      <w:lang w:bidi="ar"/>
                    </w:rPr>
                    <w:t>奖励等级（特等奖、一等奖、二等奖）的数量和所占比例。可使用柱状图展示教学竞赛获奖统计数据，根据不同竞赛等级，不同获奖等级进行获奖次数的展示，鼠标移动到对应的竞赛等级</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上，显示对应竞赛等级的不同获奖等级获奖数量。可</w:t>
                  </w:r>
                  <w:proofErr w:type="gramStart"/>
                  <w:r>
                    <w:rPr>
                      <w:rFonts w:ascii="黑体" w:eastAsia="黑体" w:hAnsi="黑体" w:cs="黑体" w:hint="eastAsia"/>
                      <w:color w:val="000000"/>
                      <w:kern w:val="0"/>
                      <w:sz w:val="24"/>
                      <w:lang w:bidi="ar"/>
                    </w:rPr>
                    <w:t>使用饼图展示</w:t>
                  </w:r>
                  <w:proofErr w:type="gramEnd"/>
                  <w:r>
                    <w:rPr>
                      <w:rFonts w:ascii="黑体" w:eastAsia="黑体" w:hAnsi="黑体" w:cs="黑体" w:hint="eastAsia"/>
                      <w:color w:val="000000"/>
                      <w:kern w:val="0"/>
                      <w:sz w:val="24"/>
                      <w:lang w:bidi="ar"/>
                    </w:rPr>
                    <w:t>不同教材等级、不</w:t>
                  </w:r>
                  <w:r>
                    <w:rPr>
                      <w:rFonts w:ascii="黑体" w:eastAsia="黑体" w:hAnsi="黑体" w:cs="黑体" w:hint="eastAsia"/>
                      <w:color w:val="000000"/>
                      <w:kern w:val="0"/>
                      <w:sz w:val="24"/>
                      <w:lang w:bidi="ar"/>
                    </w:rPr>
                    <w:lastRenderedPageBreak/>
                    <w:t>同类别的教材数据。鼠标移动到对应扇形区域显示对应教材等级的对应类型的教材数量所占比例，</w:t>
                  </w:r>
                  <w:proofErr w:type="gramStart"/>
                  <w:r>
                    <w:rPr>
                      <w:rFonts w:ascii="黑体" w:eastAsia="黑体" w:hAnsi="黑体" w:cs="黑体" w:hint="eastAsia"/>
                      <w:color w:val="000000"/>
                      <w:kern w:val="0"/>
                      <w:sz w:val="24"/>
                      <w:lang w:bidi="ar"/>
                    </w:rPr>
                    <w:t>右侧示不同</w:t>
                  </w:r>
                  <w:proofErr w:type="gramEnd"/>
                  <w:r>
                    <w:rPr>
                      <w:rFonts w:ascii="黑体" w:eastAsia="黑体" w:hAnsi="黑体" w:cs="黑体" w:hint="eastAsia"/>
                      <w:color w:val="000000"/>
                      <w:kern w:val="0"/>
                      <w:sz w:val="24"/>
                      <w:lang w:bidi="ar"/>
                    </w:rPr>
                    <w:t>教材类别（优秀、</w:t>
                  </w:r>
                  <w:proofErr w:type="gramStart"/>
                  <w:r>
                    <w:rPr>
                      <w:rFonts w:ascii="黑体" w:eastAsia="黑体" w:hAnsi="黑体" w:cs="黑体" w:hint="eastAsia"/>
                      <w:color w:val="000000"/>
                      <w:kern w:val="0"/>
                      <w:sz w:val="24"/>
                      <w:lang w:bidi="ar"/>
                    </w:rPr>
                    <w:t>十二五</w:t>
                  </w:r>
                  <w:proofErr w:type="gramEnd"/>
                  <w:r>
                    <w:rPr>
                      <w:rFonts w:ascii="黑体" w:eastAsia="黑体" w:hAnsi="黑体" w:cs="黑体" w:hint="eastAsia"/>
                      <w:color w:val="000000"/>
                      <w:kern w:val="0"/>
                      <w:sz w:val="24"/>
                      <w:lang w:bidi="ar"/>
                    </w:rPr>
                    <w:t>规划、</w:t>
                  </w:r>
                  <w:proofErr w:type="gramStart"/>
                  <w:r>
                    <w:rPr>
                      <w:rFonts w:ascii="黑体" w:eastAsia="黑体" w:hAnsi="黑体" w:cs="黑体" w:hint="eastAsia"/>
                      <w:color w:val="000000"/>
                      <w:kern w:val="0"/>
                      <w:sz w:val="24"/>
                      <w:lang w:bidi="ar"/>
                    </w:rPr>
                    <w:t>十一五</w:t>
                  </w:r>
                  <w:proofErr w:type="gramEnd"/>
                  <w:r>
                    <w:rPr>
                      <w:rFonts w:ascii="黑体" w:eastAsia="黑体" w:hAnsi="黑体" w:cs="黑体" w:hint="eastAsia"/>
                      <w:color w:val="000000"/>
                      <w:kern w:val="0"/>
                      <w:sz w:val="24"/>
                      <w:lang w:bidi="ar"/>
                    </w:rPr>
                    <w:t>规划）的数量和所占比例。教研论文：使用柱状图展示教研论文统计数据，根据不同论文等级，不同论文类型进行发表论文数量的展示，鼠标移动到对应的论文等级</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上，显示对应论文等级的不同论文类型的论文发表数量。</w:t>
                  </w:r>
                </w:p>
                <w:p w14:paraId="24E56980"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8.支持查看科研基地数据，不同等级科研基地数量（国家级、省级等），以及各基地名称数据。可使用饼状图展示不同等级项目，不同项目类型的参与人数，鼠标移动到对应的项目</w:t>
                  </w:r>
                  <w:proofErr w:type="gramStart"/>
                  <w:r>
                    <w:rPr>
                      <w:rFonts w:ascii="黑体" w:eastAsia="黑体" w:hAnsi="黑体" w:cs="黑体" w:hint="eastAsia"/>
                      <w:color w:val="000000"/>
                      <w:kern w:val="0"/>
                      <w:sz w:val="24"/>
                      <w:lang w:bidi="ar"/>
                    </w:rPr>
                    <w:t>级图系列</w:t>
                  </w:r>
                  <w:proofErr w:type="gramEnd"/>
                  <w:r>
                    <w:rPr>
                      <w:rFonts w:ascii="黑体" w:eastAsia="黑体" w:hAnsi="黑体" w:cs="黑体" w:hint="eastAsia"/>
                      <w:color w:val="000000"/>
                      <w:kern w:val="0"/>
                      <w:sz w:val="24"/>
                      <w:lang w:bidi="ar"/>
                    </w:rPr>
                    <w:t>上，显示对项目等级的项目类型的参与人员数量。各等级科研团队的数量和名称。</w:t>
                  </w:r>
                  <w:proofErr w:type="gramStart"/>
                  <w:r>
                    <w:rPr>
                      <w:rFonts w:ascii="黑体" w:eastAsia="黑体" w:hAnsi="黑体" w:cs="黑体" w:hint="eastAsia"/>
                      <w:color w:val="000000"/>
                      <w:kern w:val="0"/>
                      <w:sz w:val="24"/>
                      <w:lang w:bidi="ar"/>
                    </w:rPr>
                    <w:t>使用饼图展示</w:t>
                  </w:r>
                  <w:proofErr w:type="gramEnd"/>
                  <w:r>
                    <w:rPr>
                      <w:rFonts w:ascii="黑体" w:eastAsia="黑体" w:hAnsi="黑体" w:cs="黑体" w:hint="eastAsia"/>
                      <w:color w:val="000000"/>
                      <w:kern w:val="0"/>
                      <w:sz w:val="24"/>
                      <w:lang w:bidi="ar"/>
                    </w:rPr>
                    <w:t>不同等级教师科研获奖次数，鼠标移动到对应扇形区域显示对应获奖等级次数所占比例，</w:t>
                  </w:r>
                  <w:proofErr w:type="gramStart"/>
                  <w:r>
                    <w:rPr>
                      <w:rFonts w:ascii="黑体" w:eastAsia="黑体" w:hAnsi="黑体" w:cs="黑体" w:hint="eastAsia"/>
                      <w:color w:val="000000"/>
                      <w:kern w:val="0"/>
                      <w:sz w:val="24"/>
                      <w:lang w:bidi="ar"/>
                    </w:rPr>
                    <w:t>右侧示不同</w:t>
                  </w:r>
                  <w:proofErr w:type="gramEnd"/>
                  <w:r>
                    <w:rPr>
                      <w:rFonts w:ascii="黑体" w:eastAsia="黑体" w:hAnsi="黑体" w:cs="黑体" w:hint="eastAsia"/>
                      <w:color w:val="000000"/>
                      <w:kern w:val="0"/>
                      <w:sz w:val="24"/>
                      <w:lang w:bidi="ar"/>
                    </w:rPr>
                    <w:t>获奖等级（国家级、其他国家级、省部级等）的数量和所占比例。</w:t>
                  </w:r>
                </w:p>
              </w:tc>
            </w:tr>
            <w:tr w:rsidR="00530312" w14:paraId="2EC023CF" w14:textId="77777777">
              <w:trPr>
                <w:trHeight w:val="755"/>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7510A2"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人事主题</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5B60B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1.支持查看各类事业编制教师、非事业编制教师、柔性引进人才的人数，点击各类型教师、引进人才可以通过人员类别查询教师信息，点击重置按钮，重新输入人员类型。</w:t>
                  </w:r>
                </w:p>
                <w:p w14:paraId="3378ED0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查看教学科研岗、教学为主岗位的数量。可以查看各个岗位的分布图，点击不同岗位框可以通过岗位分布查询教师岗位详细信息，点击重置按钮，重新输入，点击下方页码或者输入页码数查询不同数据；岗位分布图通过点击不同类型的岗位选择数据的展示和隐藏。</w:t>
                  </w:r>
                </w:p>
                <w:p w14:paraId="4D8CBCF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3.支持查看博士学历、硕士学历、本科及以下的人数。可以查看事业</w:t>
                  </w:r>
                  <w:proofErr w:type="gramStart"/>
                  <w:r>
                    <w:rPr>
                      <w:rFonts w:ascii="黑体" w:eastAsia="黑体" w:hAnsi="黑体" w:cs="黑体" w:hint="eastAsia"/>
                      <w:color w:val="000000"/>
                      <w:kern w:val="0"/>
                      <w:sz w:val="24"/>
                      <w:lang w:bidi="ar"/>
                    </w:rPr>
                    <w:t>编教师</w:t>
                  </w:r>
                  <w:proofErr w:type="gramEnd"/>
                  <w:r>
                    <w:rPr>
                      <w:rFonts w:ascii="黑体" w:eastAsia="黑体" w:hAnsi="黑体" w:cs="黑体" w:hint="eastAsia"/>
                      <w:color w:val="000000"/>
                      <w:kern w:val="0"/>
                      <w:sz w:val="24"/>
                      <w:lang w:bidi="ar"/>
                    </w:rPr>
                    <w:t>学历学位统计图、事业编制教师学历学位与职称统计图，点击不同学历的展示框可以通过学位学历查询教师学历、岗位详细信息，点击重置按钮，重新输入学历，点击下方页码或者输入页码数查询不同数据；学历学位统计图可以通过点击不同职称，选择相应数据的展示和隐藏。</w:t>
                  </w:r>
                </w:p>
                <w:p w14:paraId="6D9E51D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查看各个年龄段的教师数量。可以查看正高教师、副高教师、中级教师的最高年龄、最低年龄和平均年龄。可以查看事业编制教师年龄在岗位层级，学历学位的分布情况；点击各年龄段教师数量框可以通过年龄范围选查询教师详细信息，点击重置按钮，年龄范围重新输入，点击下方页码或者输入页码数查询不同数据，岗位层次分布图通过点击不同层次的岗位，选择数据展示和隐藏。</w:t>
                  </w:r>
                </w:p>
                <w:p w14:paraId="6843B81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5.支持查看事业编制教师中正高级、副高级、中级、初级职称人数、岗位职级结构、高级职称在事业编制教师中的占比，点击不同的职称数据框可以通过职称级</w:t>
                  </w:r>
                  <w:r>
                    <w:rPr>
                      <w:rFonts w:ascii="黑体" w:eastAsia="黑体" w:hAnsi="黑体" w:cs="黑体" w:hint="eastAsia"/>
                      <w:color w:val="000000"/>
                      <w:kern w:val="0"/>
                      <w:sz w:val="24"/>
                      <w:lang w:bidi="ar"/>
                    </w:rPr>
                    <w:lastRenderedPageBreak/>
                    <w:t>别查询教师详细信息，点击重置按钮，重新输入职称级别，点击下方页码或者输入页码数查询不同数据。</w:t>
                  </w:r>
                </w:p>
                <w:p w14:paraId="169EC44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6.支持查看具有外校、海外学历教育背景的教师人数和比例，点击教育经历数据框可以通过学</w:t>
                  </w:r>
                  <w:proofErr w:type="gramStart"/>
                  <w:r>
                    <w:rPr>
                      <w:rFonts w:ascii="黑体" w:eastAsia="黑体" w:hAnsi="黑体" w:cs="黑体" w:hint="eastAsia"/>
                      <w:color w:val="000000"/>
                      <w:kern w:val="0"/>
                      <w:sz w:val="24"/>
                      <w:lang w:bidi="ar"/>
                    </w:rPr>
                    <w:t>缘结构</w:t>
                  </w:r>
                  <w:proofErr w:type="gramEnd"/>
                  <w:r>
                    <w:rPr>
                      <w:rFonts w:ascii="黑体" w:eastAsia="黑体" w:hAnsi="黑体" w:cs="黑体" w:hint="eastAsia"/>
                      <w:color w:val="000000"/>
                      <w:kern w:val="0"/>
                      <w:sz w:val="24"/>
                      <w:lang w:bidi="ar"/>
                    </w:rPr>
                    <w:t>查询教师详细信息，重新输入学院结构，点击下方页码或者输入页码数查询不同数据。</w:t>
                  </w:r>
                </w:p>
                <w:p w14:paraId="42E1A4F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7.支持查看具有三个月以上国（境）外学习和研修经历的人数和比例，教师队伍分布图点击教师总数、具有三个月及以上国(境)外研修经历选择数据的展示和隐藏。</w:t>
                  </w:r>
                </w:p>
                <w:p w14:paraId="05E8119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8.支持查看二、三级教授的总人数、各级教授人数、占比，</w:t>
                  </w:r>
                  <w:proofErr w:type="gramStart"/>
                  <w:r>
                    <w:rPr>
                      <w:rFonts w:ascii="黑体" w:eastAsia="黑体" w:hAnsi="黑体" w:cs="黑体" w:hint="eastAsia"/>
                      <w:color w:val="000000"/>
                      <w:kern w:val="0"/>
                      <w:sz w:val="24"/>
                      <w:lang w:bidi="ar"/>
                    </w:rPr>
                    <w:t>点击总</w:t>
                  </w:r>
                  <w:proofErr w:type="gramEnd"/>
                  <w:r>
                    <w:rPr>
                      <w:rFonts w:ascii="黑体" w:eastAsia="黑体" w:hAnsi="黑体" w:cs="黑体" w:hint="eastAsia"/>
                      <w:color w:val="000000"/>
                      <w:kern w:val="0"/>
                      <w:sz w:val="24"/>
                      <w:lang w:bidi="ar"/>
                    </w:rPr>
                    <w:t>人数、各层次人数、占</w:t>
                  </w:r>
                  <w:proofErr w:type="gramStart"/>
                  <w:r>
                    <w:rPr>
                      <w:rFonts w:ascii="黑体" w:eastAsia="黑体" w:hAnsi="黑体" w:cs="黑体" w:hint="eastAsia"/>
                      <w:color w:val="000000"/>
                      <w:kern w:val="0"/>
                      <w:sz w:val="24"/>
                      <w:lang w:bidi="ar"/>
                    </w:rPr>
                    <w:t>比展示框</w:t>
                  </w:r>
                  <w:proofErr w:type="gramEnd"/>
                  <w:r>
                    <w:rPr>
                      <w:rFonts w:ascii="黑体" w:eastAsia="黑体" w:hAnsi="黑体" w:cs="黑体" w:hint="eastAsia"/>
                      <w:color w:val="000000"/>
                      <w:kern w:val="0"/>
                      <w:sz w:val="24"/>
                      <w:lang w:bidi="ar"/>
                    </w:rPr>
                    <w:t>，弹出高级别教授信息列表，可以通过教授级别查询教授详细信息。</w:t>
                  </w:r>
                </w:p>
                <w:p w14:paraId="6719669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9.支持查看参照高层次人才引进B轨、参照指定标准引进人才的各层次人才人数。</w:t>
                  </w:r>
                </w:p>
                <w:p w14:paraId="439E027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10.支持查看各个标准的人才培养人数和标准类别统计图。</w:t>
                  </w:r>
                </w:p>
                <w:p w14:paraId="0C6CD3F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11.支持查看不同年份的个人荣誉总数、国家级荣誉总数、省级荣誉总数、市级及以下荣誉总数和比例，点击不同类型的个人荣誉统计，展示相应类型的明细数据，明细数据可以通过输入奖励类别进行查询奖励详细信息，点击重置按钮，查询条件重新输入，点击下方页码或者输入页码数查询不同数据。</w:t>
                  </w:r>
                </w:p>
                <w:p w14:paraId="0112CF3F"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12.支持查看集体荣誉总数、国家级荣誉总数、省级荣誉总数、市级及以下荣誉总数和比例。点击不同类型的集体荣誉，可以通过奖励类别查询奖励详细信息，点击重置按钮，查询条件重新输入，点击下方页码或者输入页码数查询不同数据。</w:t>
                  </w:r>
                </w:p>
              </w:tc>
            </w:tr>
            <w:tr w:rsidR="00530312" w14:paraId="17B40783" w14:textId="77777777">
              <w:trPr>
                <w:trHeight w:val="9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436F00"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学生画像</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14B1F7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1.能够搜索框中输入学生的姓名、学号、手机号进行快速检索，搜索范围为与用户管理工作关联的学生范围。</w:t>
                  </w:r>
                </w:p>
                <w:p w14:paraId="754997C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2.支持任课老师身份用户按照“学期”、“课程”、“班级”进行逐级筛选，下方学生列表支持按学生姓名首字母进行快速跳转。</w:t>
                  </w:r>
                </w:p>
                <w:p w14:paraId="4051CB5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3.班主任/辅导员可以根据“学院”、“专业”、“班级”进行逐级筛选，下方学生列表支持按学生姓名首字母进行快速跳转。</w:t>
                  </w:r>
                </w:p>
                <w:p w14:paraId="04E9F0F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提供应用内的页面切换条，并突出展示学生的关键基本信息，综合预警及全部特点标签。其中预警包括行为独立预警、疑似不在校预警、低消费预警、大额消费预警，特点覆盖了上网、图书借阅、考勤习惯、学习成绩、饮食规律等多方面的特点。</w:t>
                  </w:r>
                </w:p>
                <w:p w14:paraId="059BE26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5.支持展示学生的在校状态，注册状态，学籍状态。</w:t>
                  </w:r>
                </w:p>
                <w:p w14:paraId="450F5D1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6.支持展示学生个人的基础信息，包括：姓名、性别、出生日期、身份证号、身高、体重、血型、电话、户口、籍贯、民族、银行卡、宗教信仰、婚姻状况、政治面貌、所属党支部。</w:t>
                  </w:r>
                </w:p>
                <w:p w14:paraId="519FE8B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7.支持展示学生的在校信息，包括：校区 、学院、专业、班级、学位、学位类型、培养层次、学生类别、年级、第一外语、主修、辅修、是否本校定向、是否跨学科、是否留学生、是否在职生。</w:t>
                  </w:r>
                </w:p>
                <w:p w14:paraId="5EC1E48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8.支持展示学生的入学信息，包括：学制、入学季节、入学时间、入学方式、就读方式、资质类型、注册状况、学生性质、预计毕业时间、实际毕业时间。</w:t>
                  </w:r>
                </w:p>
                <w:p w14:paraId="4FE0130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9.支持展示学生的辅导员、班主任，及当前学期的任课老师联系信息，默认对老师的联系方式进行脱敏处理，点击查看全部再展示未脱敏的手机号。</w:t>
                  </w:r>
                </w:p>
                <w:p w14:paraId="48ABF13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10.支持展示家庭经济情况：家庭困难类型及学生家庭贫困比、月均收入及较平均水平值、家庭类别及较同类别占比等。展示学生的父母基础信息：国籍/民族、职业、单位、单位地址、家庭地址等，默认对家长的联系方式进行脱敏处理，点击查看按钮再展示未脱敏的手机号。</w:t>
                  </w:r>
                </w:p>
                <w:p w14:paraId="273BF47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11.提供应用内的页面切换条，并突出展示学生的关键基本信息，综合预警及全部特点标签。其中预警包括行为独立预警、疑似不在校预警、低消费预警、大额消费预警，特点覆盖了上网、图书借阅、考勤习惯、学习成绩、饮食规律等多方面的特点。</w:t>
                  </w:r>
                </w:p>
                <w:p w14:paraId="4659254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12.支持展示学生在校的学习情况：包括已修课程未修课程、已修学分获得情况、</w:t>
                  </w:r>
                  <w:proofErr w:type="gramStart"/>
                  <w:r>
                    <w:rPr>
                      <w:rFonts w:ascii="黑体" w:eastAsia="黑体" w:hAnsi="黑体" w:cs="黑体" w:hint="eastAsia"/>
                      <w:color w:val="000000"/>
                      <w:kern w:val="0"/>
                      <w:sz w:val="24"/>
                      <w:lang w:bidi="ar"/>
                    </w:rPr>
                    <w:t>平均绩点和</w:t>
                  </w:r>
                  <w:proofErr w:type="gramEnd"/>
                  <w:r>
                    <w:rPr>
                      <w:rFonts w:ascii="黑体" w:eastAsia="黑体" w:hAnsi="黑体" w:cs="黑体" w:hint="eastAsia"/>
                      <w:color w:val="000000"/>
                      <w:kern w:val="0"/>
                      <w:sz w:val="24"/>
                      <w:lang w:bidi="ar"/>
                    </w:rPr>
                    <w:t>其在专业内排名情况，以及针对上述数据与同年级专业均值的对比数据。展示本专业人数，及已修学分在本专业内的排名，本专业的最高分与最低分。已修学分的人数分布：用柱状图的形式展示，鼠标移动到</w:t>
                  </w:r>
                  <w:proofErr w:type="gramStart"/>
                  <w:r>
                    <w:rPr>
                      <w:rFonts w:ascii="黑体" w:eastAsia="黑体" w:hAnsi="黑体" w:cs="黑体" w:hint="eastAsia"/>
                      <w:color w:val="000000"/>
                      <w:kern w:val="0"/>
                      <w:sz w:val="24"/>
                      <w:lang w:bidi="ar"/>
                    </w:rPr>
                    <w:t>图系列</w:t>
                  </w:r>
                  <w:proofErr w:type="gramEnd"/>
                  <w:r>
                    <w:rPr>
                      <w:rFonts w:ascii="黑体" w:eastAsia="黑体" w:hAnsi="黑体" w:cs="黑体" w:hint="eastAsia"/>
                      <w:color w:val="000000"/>
                      <w:kern w:val="0"/>
                      <w:sz w:val="24"/>
                      <w:lang w:bidi="ar"/>
                    </w:rPr>
                    <w:t>上方可显示具体数值。分析展示专业最好课程和最差课程的成绩分数和对应的同专业内排名。并通过下拉框可选择全部学期和指定学期。</w:t>
                  </w:r>
                </w:p>
                <w:p w14:paraId="561E4BA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13.支持展示学生的所有已参与课程的成绩详情，包括考试成绩、补考成绩、是否重修、专业人数、专业排名、专业最高成绩等信息。支持通过学年学期、课程名称、完成情况进行筛选。</w:t>
                  </w:r>
                </w:p>
                <w:p w14:paraId="28A9C11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14.支持展示学生当前学年学期当前周的课程情况，包括课程名称、开课学期、上课时间、上课地点、课程性质等信息。支持通过学年学期、周次进行历史信息查</w:t>
                  </w:r>
                  <w:r>
                    <w:rPr>
                      <w:rFonts w:ascii="黑体" w:eastAsia="黑体" w:hAnsi="黑体" w:cs="黑体" w:hint="eastAsia"/>
                      <w:color w:val="000000"/>
                      <w:kern w:val="0"/>
                      <w:sz w:val="24"/>
                      <w:lang w:bidi="ar"/>
                    </w:rPr>
                    <w:lastRenderedPageBreak/>
                    <w:t>询。</w:t>
                  </w:r>
                </w:p>
                <w:p w14:paraId="1B221F38"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15.支持展示学生在校的第二课堂信息，包括总课程数、累计获得学分等统计值，及课程详情。</w:t>
                  </w:r>
                </w:p>
              </w:tc>
            </w:tr>
            <w:tr w:rsidR="00530312" w14:paraId="131E1228" w14:textId="77777777">
              <w:trPr>
                <w:trHeight w:val="9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59B8A4"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教师画像</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C8E38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1.支持展示教职工当前状态、在岗状态、教职工类型。</w:t>
                  </w:r>
                </w:p>
                <w:p w14:paraId="319CB5D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2.支持展示教职工个人的基础信息，包括：姓名、性别、出生日期、电话、政治面貌、身份、血型、婚姻状况、国籍、籍贯、民族、身份证号等信息。</w:t>
                  </w:r>
                </w:p>
                <w:p w14:paraId="46F4EAF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3.支持展示教职工的入职信息，包括单位、工号、校区、教职工类型、编制类别、工龄、进校类型、进校时间、当前状态、在岗状态、工资否、是否延退等信息。</w:t>
                  </w:r>
                </w:p>
                <w:p w14:paraId="63488E7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展示教职工的个人履历，包括工作岗位：岗位类别、岗位级别、聘任时间、聘期起止时间；最高学历：最高学历、学位、毕业院校、毕业时间；行政职务：行政职务、行政级别、职务时间、职务级别时间；专业技术职务信息：专业技术职务、专业技术级别、资格时间、聘任时间。</w:t>
                  </w:r>
                </w:p>
                <w:p w14:paraId="358DEC7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5.支持展示教职工的通讯方式：家庭地址、现住地址、家庭电话、户口所在地；家庭成员基础信息：姓名、关系、电话、单位。</w:t>
                  </w:r>
                </w:p>
                <w:p w14:paraId="7A765A0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展示教职工的当前岗位类别、岗位级别、岗位部门等信息，当前岗位包括：岗位级别、聘任时间、聘期起止、聘用合同号、合同签订日期；原岗位包括：岗位级别；校内调动：以时间链的形式从下往上展示岗位调动信息；信息包括：院系、调动时间</w:t>
                  </w:r>
                </w:p>
                <w:p w14:paraId="62081FB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展示教职工最高学历：最高学历名称、学位名称、最后毕业时间等，学历信息：博士生毕业信息、硕士研究生毕业信息、大学本科毕业信息；个人行政经历包括：行政服务、行政级别以及职务列表，列表包括：职务、级别、职务时间、级别时间等信息；专业技术经历包括：专业技术职务、专业技术级别以及技术职务列表，列表包括职务、级别、资格时间、聘任时间等信息。</w:t>
                  </w:r>
                </w:p>
                <w:p w14:paraId="1534145E"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8.支持展示教职工所有历史获取的荣誉奖励信息明细，包括奖励名称、获奖时间、奖励级别、颁发机构和所在单位信息。</w:t>
                  </w:r>
                </w:p>
              </w:tc>
            </w:tr>
            <w:tr w:rsidR="00530312" w14:paraId="5F2325DB" w14:textId="77777777">
              <w:trPr>
                <w:trHeight w:val="9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D22AD"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全国职业教育智慧大脑院校中台建设</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F46E1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能够基于数据调研清单，摸清校内数据家底，理清可与数据中心直接对接的数据表以及需在线填报的数据表，充分了解学校现有数据支撑情况以及数据质量情况，确定数据的来源系统及来源部门，并制定采集计划。</w:t>
                  </w:r>
                </w:p>
                <w:p w14:paraId="026A5F2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2.支持在首页查看数据上报工作的进展情况，支持用户查看已上报数据条数，成功上报的数据条数，上报失败的数据详情，支持用户查看已完成上报的数据集和</w:t>
                  </w:r>
                  <w:r>
                    <w:rPr>
                      <w:rFonts w:ascii="黑体" w:eastAsia="黑体" w:hAnsi="黑体" w:cs="黑体" w:hint="eastAsia"/>
                      <w:color w:val="000000"/>
                      <w:kern w:val="0"/>
                      <w:sz w:val="24"/>
                      <w:lang w:bidi="ar"/>
                    </w:rPr>
                    <w:lastRenderedPageBreak/>
                    <w:t>未完成上报的数据集、查看今日、本周、本月、本学期已上报的数据条数。能在首页查看学校数据上报工作的上报数据量随时间变化趋势。</w:t>
                  </w:r>
                </w:p>
                <w:p w14:paraId="128DB5D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上报工具和学校业务系统对接，可视化配置采集任务，自动化的从学校业务系统离线/实时抽取数据，支持基础数据库与上报数据库相分离。用于采集、维护上报的基础数据，经审核确认后进入上报数据库正式上报，利于上报线的统一步伐和问题整改，确保达到预期。支持上报工具制定表单数据标准，形成标准化初始模板，并提前在产品中进行配置，减少表单的配置工作量，人工采集教职工填报数据。</w:t>
                  </w:r>
                </w:p>
                <w:p w14:paraId="0BC4895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4.支持平台管理用户和角色，对接统一身份认证系统，同步用户数据，支持为不同角色配置不同菜单权限和数据权限，实现分权分域。</w:t>
                  </w:r>
                </w:p>
                <w:p w14:paraId="3338F5F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5.支持用户在上报平台管理各自负责的数据集，支持用户对数据人工导入，新增数据、删除数据、修改数据、按字段查询数据。</w:t>
                  </w:r>
                </w:p>
                <w:p w14:paraId="05ECAD9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6.支持平台内置数据校验规则，根据数据上报的要求，对接入的数据进行质量监测，及时发现数据缺失、数据格式错误等问题，数据异常即时预警，保障上报数据的准确性、完整性、规范性。</w:t>
                  </w:r>
                </w:p>
                <w:p w14:paraId="11C0CEA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7.支持学校管理人员根据各个部门提交数据的情况，对数据多级审核，保障上报数据规范性、准确性、完整性和统一性。</w:t>
                  </w:r>
                </w:p>
                <w:p w14:paraId="48F1301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8.支持学校管理人员申请上报资质，维护学校代码、学校名称等基本信息，支持配置数据上报频率，管理上报平台数据上报的推送策略，支持预置数据表的上报接口，可通过平台自动上报；</w:t>
                  </w:r>
                </w:p>
                <w:p w14:paraId="6F6A409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9.支持通过API接口完成自动报送，并对数据上报的数据量及结果实时监控。</w:t>
                  </w:r>
                </w:p>
                <w:p w14:paraId="704791E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10.支持查看教育部数据上报的推送日志清单，查看数据采集上报的整体情况，根据教育部的要求生成学校大屏。</w:t>
                  </w:r>
                </w:p>
                <w:p w14:paraId="7D67EDCA"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11.支持全面的日志管理，包括对所有数据增删</w:t>
                  </w:r>
                  <w:proofErr w:type="gramStart"/>
                  <w:r>
                    <w:rPr>
                      <w:rFonts w:ascii="黑体" w:eastAsia="黑体" w:hAnsi="黑体" w:cs="黑体" w:hint="eastAsia"/>
                      <w:color w:val="000000"/>
                      <w:kern w:val="0"/>
                      <w:sz w:val="24"/>
                      <w:lang w:bidi="ar"/>
                    </w:rPr>
                    <w:t>改查操作</w:t>
                  </w:r>
                  <w:proofErr w:type="gramEnd"/>
                  <w:r>
                    <w:rPr>
                      <w:rFonts w:ascii="黑体" w:eastAsia="黑体" w:hAnsi="黑体" w:cs="黑体" w:hint="eastAsia"/>
                      <w:color w:val="000000"/>
                      <w:kern w:val="0"/>
                      <w:sz w:val="24"/>
                      <w:lang w:bidi="ar"/>
                    </w:rPr>
                    <w:t>信息的记录和查询，支持根据操作类型、时间、关键字等内容查找一段时间内符合条件的操作日志或任务执行日志。</w:t>
                  </w:r>
                </w:p>
              </w:tc>
            </w:tr>
            <w:tr w:rsidR="00530312" w14:paraId="7E9C34D0" w14:textId="77777777">
              <w:trPr>
                <w:trHeight w:val="9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CD82FC" w14:textId="77777777" w:rsidR="00530312" w:rsidRDefault="005170F5">
                  <w:pPr>
                    <w:widowControl/>
                    <w:spacing w:line="360" w:lineRule="auto"/>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重庆市公共数据资源管理系统对接服务</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ECD85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为深入贯彻落实市委袁家军书记2025年1月9日在数字重庆建设推进会上“推动高校融入数字重庆建设”的指示要求，全面提升高校对数字重庆建设的支撑贡献水平，现就高校公共基础数据编目、上报及应用工作；其建设内容如下：</w:t>
                  </w:r>
                </w:p>
                <w:p w14:paraId="052A3B6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1.高校公共基础数据编目梳理</w:t>
                  </w:r>
                </w:p>
                <w:p w14:paraId="77FEB9E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（1）目标任务：系统开展高校公共数据标准化编目与归集，围绕教师、学生、专业、课程、教材、教学成果、教改项目等核心领域，梳理形成23个基础数据集，重点完成重庆电信职业学院公共基础数据编目工作。</w:t>
                  </w:r>
                </w:p>
                <w:p w14:paraId="632F052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（2）具体编目内容：</w:t>
                  </w:r>
                </w:p>
                <w:p w14:paraId="08C3ED6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教师队伍数据：涵盖教师类型、学历层次、职称结构、港澳台及外籍教师分布、民族构成、境外研修经历、高层次人才信息等7类核心数据；</w:t>
                  </w:r>
                </w:p>
                <w:p w14:paraId="598F9D5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学生数据：聚焦在校学生民族分布、在校留学生规模及结构等2项关键数据；</w:t>
                  </w:r>
                </w:p>
                <w:p w14:paraId="261D894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专业数据：重点编录专业设置与建设情况数据；</w:t>
                  </w:r>
                </w:p>
                <w:p w14:paraId="4F1C8CB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课程数据：包含国家级、市级一流课程建设数据；</w:t>
                  </w:r>
                </w:p>
                <w:p w14:paraId="65C0C52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教材数据：归集出版教材质量评价相关数据；</w:t>
                  </w:r>
                </w:p>
                <w:p w14:paraId="0B872C7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教学成果数据：覆盖国家级、省部级、行业学会及校级教学成果奖三级数据；</w:t>
                  </w:r>
                </w:p>
                <w:p w14:paraId="7DC9502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教改项目数据：包括国家级、市级教育教学改革项目实施情况数据；</w:t>
                  </w:r>
                </w:p>
                <w:p w14:paraId="545835B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其他补充数据：含国家级/市级创新创业训练计划项目数量、校园重点设施信息、国家级/省部级教学科研支撑平台建设数据等6项内容。</w:t>
                  </w:r>
                </w:p>
                <w:p w14:paraId="7034F8C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2.高校公共基础数据编目上报机制</w:t>
                  </w:r>
                </w:p>
                <w:p w14:paraId="2573782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通过高校公共基础数据编目上报专用API接口，按照规定的更新频率（如月度/季度/年度），定时完成数据标准化上报，确保数据实时性与准确性，为数字重庆数据中台提供动态更新的教育领域数据源。</w:t>
                  </w:r>
                </w:p>
                <w:p w14:paraId="75E65D5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3.校本领导决策驾驶舱建设</w:t>
                  </w:r>
                </w:p>
                <w:p w14:paraId="2BDCE43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基于已编目归集的高校公共基础数据，构建校本领导决策驾驶舱系统。通过可视化数据看板，动态呈现教师队伍结构、学生培养质量、专业课程建设、教学成果成效等核心指标，为学校管理层提供多维度、</w:t>
                  </w:r>
                  <w:proofErr w:type="gramStart"/>
                  <w:r>
                    <w:rPr>
                      <w:rFonts w:ascii="黑体" w:eastAsia="黑体" w:hAnsi="黑体" w:cs="黑体" w:hint="eastAsia"/>
                      <w:color w:val="000000"/>
                      <w:kern w:val="0"/>
                      <w:sz w:val="24"/>
                      <w:lang w:bidi="ar"/>
                    </w:rPr>
                    <w:t>实时化</w:t>
                  </w:r>
                  <w:proofErr w:type="gramEnd"/>
                  <w:r>
                    <w:rPr>
                      <w:rFonts w:ascii="黑体" w:eastAsia="黑体" w:hAnsi="黑体" w:cs="黑体" w:hint="eastAsia"/>
                      <w:color w:val="000000"/>
                      <w:kern w:val="0"/>
                      <w:sz w:val="24"/>
                      <w:lang w:bidi="ar"/>
                    </w:rPr>
                    <w:t>的决策支撑，助力教育管理数字化转型。</w:t>
                  </w:r>
                </w:p>
                <w:p w14:paraId="50FE46B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通过“数据编目-动态上报-场景应用”全流程闭环，着力构建覆盖全面、更新及时、应用有效的高校教育数据资源体系，切实提升高校对数字重庆建设的支撑贡献水平。</w:t>
                  </w:r>
                </w:p>
              </w:tc>
            </w:tr>
          </w:tbl>
          <w:p w14:paraId="04BC6B76"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lastRenderedPageBreak/>
              <w:t>（二）业务中台及服务</w:t>
            </w:r>
          </w:p>
          <w:tbl>
            <w:tblPr>
              <w:tblW w:w="0" w:type="auto"/>
              <w:tblLayout w:type="fixed"/>
              <w:tblCellMar>
                <w:left w:w="0" w:type="dxa"/>
                <w:right w:w="0" w:type="dxa"/>
              </w:tblCellMar>
              <w:tblLook w:val="04A0" w:firstRow="1" w:lastRow="0" w:firstColumn="1" w:lastColumn="0" w:noHBand="0" w:noVBand="1"/>
            </w:tblPr>
            <w:tblGrid>
              <w:gridCol w:w="1251"/>
              <w:gridCol w:w="8485"/>
            </w:tblGrid>
            <w:tr w:rsidR="00530312" w14:paraId="1626EF04" w14:textId="77777777">
              <w:trPr>
                <w:trHeight w:val="3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DADAC"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系统模块</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203AEB"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功能简述</w:t>
                  </w:r>
                </w:p>
              </w:tc>
            </w:tr>
            <w:tr w:rsidR="00530312" w14:paraId="035D8AAA" w14:textId="77777777">
              <w:trPr>
                <w:trHeight w:val="415"/>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0AB354"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统一身份认证平台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027D1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实现“一套账号密码，登录到多套系统”，不用再担心记不住其它校内信息化系统的账号和密码。</w:t>
                  </w:r>
                </w:p>
                <w:p w14:paraId="169D47A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1、支持</w:t>
                  </w:r>
                  <w:proofErr w:type="spellStart"/>
                  <w:r>
                    <w:rPr>
                      <w:rFonts w:ascii="黑体" w:eastAsia="黑体" w:hAnsi="黑体" w:cs="黑体" w:hint="eastAsia"/>
                      <w:color w:val="000000"/>
                      <w:kern w:val="0"/>
                      <w:sz w:val="24"/>
                      <w:lang w:bidi="ar"/>
                    </w:rPr>
                    <w:t>CAS4.0</w:t>
                  </w:r>
                  <w:proofErr w:type="spellEnd"/>
                  <w:r>
                    <w:rPr>
                      <w:rFonts w:ascii="黑体" w:eastAsia="黑体" w:hAnsi="黑体" w:cs="黑体" w:hint="eastAsia"/>
                      <w:color w:val="000000"/>
                      <w:kern w:val="0"/>
                      <w:sz w:val="24"/>
                      <w:lang w:bidi="ar"/>
                    </w:rPr>
                    <w:t>、LDAP、</w:t>
                  </w:r>
                  <w:proofErr w:type="spellStart"/>
                  <w:r>
                    <w:rPr>
                      <w:rFonts w:ascii="黑体" w:eastAsia="黑体" w:hAnsi="黑体" w:cs="黑体" w:hint="eastAsia"/>
                      <w:color w:val="000000"/>
                      <w:kern w:val="0"/>
                      <w:sz w:val="24"/>
                      <w:lang w:bidi="ar"/>
                    </w:rPr>
                    <w:t>OAuth2.0</w:t>
                  </w:r>
                  <w:proofErr w:type="spellEnd"/>
                  <w:r>
                    <w:rPr>
                      <w:rFonts w:ascii="黑体" w:eastAsia="黑体" w:hAnsi="黑体" w:cs="黑体" w:hint="eastAsia"/>
                      <w:color w:val="000000"/>
                      <w:kern w:val="0"/>
                      <w:sz w:val="24"/>
                      <w:lang w:bidi="ar"/>
                    </w:rPr>
                    <w:t xml:space="preserve"> 的认证协议将CAS、LDAP及OAuth服务作为外部认证源；</w:t>
                  </w:r>
                </w:p>
                <w:p w14:paraId="28B3FC4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2、支持微信、微博、钉钉、</w:t>
                  </w:r>
                  <w:proofErr w:type="spellStart"/>
                  <w:r>
                    <w:rPr>
                      <w:rFonts w:ascii="黑体" w:eastAsia="黑体" w:hAnsi="黑体" w:cs="黑体" w:hint="eastAsia"/>
                      <w:color w:val="000000"/>
                      <w:kern w:val="0"/>
                      <w:sz w:val="24"/>
                      <w:lang w:bidi="ar"/>
                    </w:rPr>
                    <w:t>QQ</w:t>
                  </w:r>
                  <w:proofErr w:type="spellEnd"/>
                  <w:r>
                    <w:rPr>
                      <w:rFonts w:ascii="黑体" w:eastAsia="黑体" w:hAnsi="黑体" w:cs="黑体" w:hint="eastAsia"/>
                      <w:color w:val="000000"/>
                      <w:kern w:val="0"/>
                      <w:sz w:val="24"/>
                      <w:lang w:bidi="ar"/>
                    </w:rPr>
                    <w:t>、面部识别认证、CA等多种的第三方认证源服务；</w:t>
                  </w:r>
                </w:p>
                <w:p w14:paraId="524246C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3、支持修改密码、绑定手机、绑定邮箱、账号绑定、关联账号、第三方账号、监控账号、登录情况、密保设置、登录日志、头像维护，可通过短信、邮件、密保问答找回密码或修改密码。</w:t>
                  </w:r>
                </w:p>
                <w:p w14:paraId="2432625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4、支持流程应用、CAS应用、OAuth应用、</w:t>
                  </w:r>
                  <w:proofErr w:type="spellStart"/>
                  <w:r>
                    <w:rPr>
                      <w:rFonts w:ascii="黑体" w:eastAsia="黑体" w:hAnsi="黑体" w:cs="黑体" w:hint="eastAsia"/>
                      <w:color w:val="000000"/>
                      <w:kern w:val="0"/>
                      <w:sz w:val="24"/>
                      <w:lang w:bidi="ar"/>
                    </w:rPr>
                    <w:t>SAML</w:t>
                  </w:r>
                  <w:proofErr w:type="spellEnd"/>
                  <w:r>
                    <w:rPr>
                      <w:rFonts w:ascii="黑体" w:eastAsia="黑体" w:hAnsi="黑体" w:cs="黑体" w:hint="eastAsia"/>
                      <w:color w:val="000000"/>
                      <w:kern w:val="0"/>
                      <w:sz w:val="24"/>
                      <w:lang w:bidi="ar"/>
                    </w:rPr>
                    <w:t>应用、</w:t>
                  </w:r>
                  <w:proofErr w:type="spellStart"/>
                  <w:r>
                    <w:rPr>
                      <w:rFonts w:ascii="黑体" w:eastAsia="黑体" w:hAnsi="黑体" w:cs="黑体" w:hint="eastAsia"/>
                      <w:color w:val="000000"/>
                      <w:kern w:val="0"/>
                      <w:sz w:val="24"/>
                      <w:lang w:bidi="ar"/>
                    </w:rPr>
                    <w:t>H5</w:t>
                  </w:r>
                  <w:proofErr w:type="spellEnd"/>
                  <w:r>
                    <w:rPr>
                      <w:rFonts w:ascii="黑体" w:eastAsia="黑体" w:hAnsi="黑体" w:cs="黑体" w:hint="eastAsia"/>
                      <w:color w:val="000000"/>
                      <w:kern w:val="0"/>
                      <w:sz w:val="24"/>
                      <w:lang w:bidi="ar"/>
                    </w:rPr>
                    <w:t>静态应用、表单登录应用等可视化配置。</w:t>
                  </w:r>
                </w:p>
                <w:p w14:paraId="3A3D7B3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w:t>
                  </w:r>
                  <w:proofErr w:type="spellStart"/>
                  <w:r>
                    <w:rPr>
                      <w:rFonts w:ascii="黑体" w:eastAsia="黑体" w:hAnsi="黑体" w:cs="黑体" w:hint="eastAsia"/>
                      <w:color w:val="000000"/>
                      <w:kern w:val="0"/>
                      <w:sz w:val="24"/>
                      <w:lang w:bidi="ar"/>
                    </w:rPr>
                    <w:t>H5</w:t>
                  </w:r>
                  <w:proofErr w:type="spellEnd"/>
                  <w:r>
                    <w:rPr>
                      <w:rFonts w:ascii="黑体" w:eastAsia="黑体" w:hAnsi="黑体" w:cs="黑体" w:hint="eastAsia"/>
                      <w:color w:val="000000"/>
                      <w:kern w:val="0"/>
                      <w:sz w:val="24"/>
                      <w:lang w:bidi="ar"/>
                    </w:rPr>
                    <w:t>静态资源应用的API转发，能设置API转发策略，如：IP白名单、攻击行为阻断等</w:t>
                  </w:r>
                </w:p>
                <w:p w14:paraId="40D2DFE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6、基于学校</w:t>
                  </w:r>
                  <w:proofErr w:type="gramStart"/>
                  <w:r>
                    <w:rPr>
                      <w:rFonts w:ascii="黑体" w:eastAsia="黑体" w:hAnsi="黑体" w:cs="黑体" w:hint="eastAsia"/>
                      <w:color w:val="000000"/>
                      <w:kern w:val="0"/>
                      <w:sz w:val="24"/>
                      <w:lang w:bidi="ar"/>
                    </w:rPr>
                    <w:t>一</w:t>
                  </w:r>
                  <w:proofErr w:type="gramEnd"/>
                  <w:r>
                    <w:rPr>
                      <w:rFonts w:ascii="黑体" w:eastAsia="黑体" w:hAnsi="黑体" w:cs="黑体" w:hint="eastAsia"/>
                      <w:color w:val="000000"/>
                      <w:kern w:val="0"/>
                      <w:sz w:val="24"/>
                      <w:lang w:bidi="ar"/>
                    </w:rPr>
                    <w:t>卡通的编码算法和统一认证中的个人身份信息生产身份码，在移动端生成个人的二维码，主要包含用户ID、身份证号等；对用户ID、身份证号等信息需要加密；第三方系统可根据</w:t>
                  </w:r>
                  <w:proofErr w:type="spellStart"/>
                  <w:r>
                    <w:rPr>
                      <w:rFonts w:ascii="黑体" w:eastAsia="黑体" w:hAnsi="黑体" w:cs="黑体" w:hint="eastAsia"/>
                      <w:color w:val="000000"/>
                      <w:kern w:val="0"/>
                      <w:sz w:val="24"/>
                      <w:lang w:bidi="ar"/>
                    </w:rPr>
                    <w:t>APPID</w:t>
                  </w:r>
                  <w:proofErr w:type="spellEnd"/>
                  <w:r>
                    <w:rPr>
                      <w:rFonts w:ascii="黑体" w:eastAsia="黑体" w:hAnsi="黑体" w:cs="黑体" w:hint="eastAsia"/>
                      <w:color w:val="000000"/>
                      <w:kern w:val="0"/>
                      <w:sz w:val="24"/>
                      <w:lang w:bidi="ar"/>
                    </w:rPr>
                    <w:t>/Key和</w:t>
                  </w:r>
                  <w:proofErr w:type="gramStart"/>
                  <w:r>
                    <w:rPr>
                      <w:rFonts w:ascii="黑体" w:eastAsia="黑体" w:hAnsi="黑体" w:cs="黑体" w:hint="eastAsia"/>
                      <w:color w:val="000000"/>
                      <w:kern w:val="0"/>
                      <w:sz w:val="24"/>
                      <w:lang w:bidi="ar"/>
                    </w:rPr>
                    <w:t>二维码解密</w:t>
                  </w:r>
                  <w:proofErr w:type="gramEnd"/>
                  <w:r>
                    <w:rPr>
                      <w:rFonts w:ascii="黑体" w:eastAsia="黑体" w:hAnsi="黑体" w:cs="黑体" w:hint="eastAsia"/>
                      <w:color w:val="000000"/>
                      <w:kern w:val="0"/>
                      <w:sz w:val="24"/>
                      <w:lang w:bidi="ar"/>
                    </w:rPr>
                    <w:t>算法调用。支持门禁、消费等场景的身份识别。</w:t>
                  </w:r>
                </w:p>
                <w:p w14:paraId="4FB9757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7、可直</w:t>
                  </w:r>
                  <w:proofErr w:type="gramStart"/>
                  <w:r>
                    <w:rPr>
                      <w:rFonts w:ascii="黑体" w:eastAsia="黑体" w:hAnsi="黑体" w:cs="黑体" w:hint="eastAsia"/>
                      <w:color w:val="000000"/>
                      <w:kern w:val="0"/>
                      <w:sz w:val="24"/>
                      <w:lang w:bidi="ar"/>
                    </w:rPr>
                    <w:t>连业务</w:t>
                  </w:r>
                  <w:proofErr w:type="gramEnd"/>
                  <w:r>
                    <w:rPr>
                      <w:rFonts w:ascii="黑体" w:eastAsia="黑体" w:hAnsi="黑体" w:cs="黑体" w:hint="eastAsia"/>
                      <w:color w:val="000000"/>
                      <w:kern w:val="0"/>
                      <w:sz w:val="24"/>
                      <w:lang w:bidi="ar"/>
                    </w:rPr>
                    <w:t>系统数据源，能快速生成API接口服务；实现</w:t>
                  </w:r>
                  <w:proofErr w:type="gramStart"/>
                  <w:r>
                    <w:rPr>
                      <w:rFonts w:ascii="黑体" w:eastAsia="黑体" w:hAnsi="黑体" w:cs="黑体" w:hint="eastAsia"/>
                      <w:color w:val="000000"/>
                      <w:kern w:val="0"/>
                      <w:sz w:val="24"/>
                      <w:lang w:bidi="ar"/>
                    </w:rPr>
                    <w:t>数据数据</w:t>
                  </w:r>
                  <w:proofErr w:type="gramEnd"/>
                  <w:r>
                    <w:rPr>
                      <w:rFonts w:ascii="黑体" w:eastAsia="黑体" w:hAnsi="黑体" w:cs="黑体" w:hint="eastAsia"/>
                      <w:color w:val="000000"/>
                      <w:kern w:val="0"/>
                      <w:sz w:val="24"/>
                      <w:lang w:bidi="ar"/>
                    </w:rPr>
                    <w:t>互联、数据共享；可以基于数据网关构建微应用。</w:t>
                  </w:r>
                </w:p>
                <w:p w14:paraId="0AA4DC9B"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8、支持校内校外用户管理，支持校外用户</w:t>
                  </w:r>
                  <w:proofErr w:type="gramStart"/>
                  <w:r>
                    <w:rPr>
                      <w:rFonts w:ascii="黑体" w:eastAsia="黑体" w:hAnsi="黑体" w:cs="黑体" w:hint="eastAsia"/>
                      <w:color w:val="000000"/>
                      <w:kern w:val="0"/>
                      <w:sz w:val="24"/>
                      <w:lang w:bidi="ar"/>
                    </w:rPr>
                    <w:t>注册注册</w:t>
                  </w:r>
                  <w:proofErr w:type="gramEnd"/>
                  <w:r>
                    <w:rPr>
                      <w:rFonts w:ascii="黑体" w:eastAsia="黑体" w:hAnsi="黑体" w:cs="黑体" w:hint="eastAsia"/>
                      <w:color w:val="000000"/>
                      <w:kern w:val="0"/>
                      <w:sz w:val="24"/>
                      <w:lang w:bidi="ar"/>
                    </w:rPr>
                    <w:t>；能够对用户数据维护管理，具备查询、新增、修改、删除、导入、导出操作；可编辑用户、重置密码、分配角色，校内外用户分别管理；支持教职工、学生、临进访客、教师亲属、物业人员、食堂员工、工人、维保人员、访问学者、商户等人员类型的管理。</w:t>
                  </w:r>
                </w:p>
                <w:p w14:paraId="6C9BA7F3"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9、支持中文版本和英文版本。</w:t>
                  </w:r>
                </w:p>
              </w:tc>
            </w:tr>
            <w:tr w:rsidR="00530312" w14:paraId="299F0BF2" w14:textId="77777777">
              <w:trPr>
                <w:trHeight w:val="1357"/>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E57BB6" w14:textId="77777777" w:rsidR="00530312" w:rsidRDefault="005170F5">
                  <w:pPr>
                    <w:widowControl/>
                    <w:spacing w:line="360" w:lineRule="auto"/>
                    <w:jc w:val="center"/>
                    <w:textAlignment w:val="center"/>
                    <w:rPr>
                      <w:rFonts w:ascii="黑体" w:eastAsia="黑体" w:hAnsi="黑体" w:cs="黑体"/>
                      <w:color w:val="000000"/>
                      <w:sz w:val="24"/>
                    </w:rPr>
                  </w:pPr>
                  <w:proofErr w:type="gramStart"/>
                  <w:r>
                    <w:rPr>
                      <w:rFonts w:ascii="黑体" w:eastAsia="黑体" w:hAnsi="黑体" w:cs="黑体" w:hint="eastAsia"/>
                      <w:color w:val="000000"/>
                      <w:kern w:val="0"/>
                      <w:sz w:val="24"/>
                      <w:lang w:bidi="ar"/>
                    </w:rPr>
                    <w:lastRenderedPageBreak/>
                    <w:t>一网通办</w:t>
                  </w:r>
                  <w:proofErr w:type="gramEnd"/>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E01AE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1、首页</w:t>
                  </w:r>
                </w:p>
                <w:p w14:paraId="17D911B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门户首页支持按用户行为推荐办事应用和办事指南，采用千人千面的方式呈现；用户在登录前和登录后看到的应用内容均不同，每个人登录门户前或登录门户后看到的应用和办事指南仅与本人相关。</w:t>
                  </w:r>
                </w:p>
                <w:p w14:paraId="50C5088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2、办事大厅</w:t>
                  </w:r>
                </w:p>
                <w:p w14:paraId="53A49E4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应用支持按角色选择、服务类型、业务部门、查首字母筛选办事应用；能够</w:t>
                  </w:r>
                  <w:proofErr w:type="gramStart"/>
                  <w:r>
                    <w:rPr>
                      <w:rFonts w:ascii="黑体" w:eastAsia="黑体" w:hAnsi="黑体" w:cs="黑体" w:hint="eastAsia"/>
                      <w:color w:val="000000"/>
                      <w:kern w:val="0"/>
                      <w:sz w:val="24"/>
                      <w:lang w:bidi="ar"/>
                    </w:rPr>
                    <w:t>按应用</w:t>
                  </w:r>
                  <w:proofErr w:type="gramEnd"/>
                  <w:r>
                    <w:rPr>
                      <w:rFonts w:ascii="黑体" w:eastAsia="黑体" w:hAnsi="黑体" w:cs="黑体" w:hint="eastAsia"/>
                      <w:color w:val="000000"/>
                      <w:kern w:val="0"/>
                      <w:sz w:val="24"/>
                      <w:lang w:bidi="ar"/>
                    </w:rPr>
                    <w:t>名称首字母自动生成拼音检索，没有应用的角色、服务类型、业务部门、首字母均不显示；每个人登录后均只能看到与本人相关的办事应用。</w:t>
                  </w:r>
                </w:p>
                <w:p w14:paraId="53EEBD0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支持应用评分、应用收藏、分享功能。</w:t>
                  </w:r>
                </w:p>
                <w:p w14:paraId="42543BE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支持流程应用、CAS应用、OAuth应用、</w:t>
                  </w:r>
                  <w:proofErr w:type="spellStart"/>
                  <w:r>
                    <w:rPr>
                      <w:rFonts w:ascii="黑体" w:eastAsia="黑体" w:hAnsi="黑体" w:cs="黑体" w:hint="eastAsia"/>
                      <w:color w:val="000000"/>
                      <w:kern w:val="0"/>
                      <w:sz w:val="24"/>
                      <w:lang w:bidi="ar"/>
                    </w:rPr>
                    <w:t>SAML</w:t>
                  </w:r>
                  <w:proofErr w:type="spellEnd"/>
                  <w:r>
                    <w:rPr>
                      <w:rFonts w:ascii="黑体" w:eastAsia="黑体" w:hAnsi="黑体" w:cs="黑体" w:hint="eastAsia"/>
                      <w:color w:val="000000"/>
                      <w:kern w:val="0"/>
                      <w:sz w:val="24"/>
                      <w:lang w:bidi="ar"/>
                    </w:rPr>
                    <w:t>应用、</w:t>
                  </w:r>
                  <w:proofErr w:type="spellStart"/>
                  <w:r>
                    <w:rPr>
                      <w:rFonts w:ascii="黑体" w:eastAsia="黑体" w:hAnsi="黑体" w:cs="黑体" w:hint="eastAsia"/>
                      <w:color w:val="000000"/>
                      <w:kern w:val="0"/>
                      <w:sz w:val="24"/>
                      <w:lang w:bidi="ar"/>
                    </w:rPr>
                    <w:t>H5</w:t>
                  </w:r>
                  <w:proofErr w:type="spellEnd"/>
                  <w:r>
                    <w:rPr>
                      <w:rFonts w:ascii="黑体" w:eastAsia="黑体" w:hAnsi="黑体" w:cs="黑体" w:hint="eastAsia"/>
                      <w:color w:val="000000"/>
                      <w:kern w:val="0"/>
                      <w:sz w:val="24"/>
                      <w:lang w:bidi="ar"/>
                    </w:rPr>
                    <w:t>独立应用（静态资源应用、代理资源应用）、表单认证应用。</w:t>
                  </w:r>
                </w:p>
                <w:p w14:paraId="4C1ABDA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支持触摸屏幕左右侧边翻页阅读办事指南；</w:t>
                  </w:r>
                </w:p>
                <w:p w14:paraId="7C044D5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支持无障碍阅读（仅PC端），为有视障、听说障碍、读写障碍、肢体障碍、机体功能衰退的老年人群提供方便。</w:t>
                  </w:r>
                </w:p>
                <w:p w14:paraId="591EF02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3、办事指南</w:t>
                  </w:r>
                </w:p>
                <w:p w14:paraId="6C8E8F2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应用支持按角色选择、服务类型、业务部门、查首字母筛选办事指南；能够</w:t>
                  </w:r>
                  <w:proofErr w:type="gramStart"/>
                  <w:r>
                    <w:rPr>
                      <w:rFonts w:ascii="黑体" w:eastAsia="黑体" w:hAnsi="黑体" w:cs="黑体" w:hint="eastAsia"/>
                      <w:color w:val="000000"/>
                      <w:kern w:val="0"/>
                      <w:sz w:val="24"/>
                      <w:lang w:bidi="ar"/>
                    </w:rPr>
                    <w:t>按办事</w:t>
                  </w:r>
                  <w:proofErr w:type="gramEnd"/>
                  <w:r>
                    <w:rPr>
                      <w:rFonts w:ascii="黑体" w:eastAsia="黑体" w:hAnsi="黑体" w:cs="黑体" w:hint="eastAsia"/>
                      <w:color w:val="000000"/>
                      <w:kern w:val="0"/>
                      <w:sz w:val="24"/>
                      <w:lang w:bidi="ar"/>
                    </w:rPr>
                    <w:t>指南名称首字母自动生成拼音检索，没有应用的角色、服务类型、业务部门、首字母均不显示；每个人登录后均只能看到与本人相关的办事指南。</w:t>
                  </w:r>
                </w:p>
                <w:p w14:paraId="534EB33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支持应用评分、指南收藏、分享功能。</w:t>
                  </w:r>
                </w:p>
                <w:p w14:paraId="2F0E592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支持触摸屏幕左右侧边翻页阅读办事指南；</w:t>
                  </w:r>
                </w:p>
                <w:p w14:paraId="1CE8D17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支持无障碍阅读（仅PC端），为有视障、听说障碍、读写障碍、肢体障碍、机体功能衰退的老年人群提供方便。</w:t>
                  </w:r>
                </w:p>
                <w:p w14:paraId="478FDE4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4、能效统计</w:t>
                  </w:r>
                </w:p>
                <w:p w14:paraId="579E974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服务对象：能够对注册使用的学生、教师、访客、用户总数等数据进行统计。</w:t>
                  </w:r>
                </w:p>
                <w:p w14:paraId="095C88D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事务服务：支持办事应用数量、入驻服务部门、办事指南的数量统计。</w:t>
                  </w:r>
                </w:p>
                <w:p w14:paraId="3E06773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服务成效：支持办事总次数、今日办事总次数、今日服务总人数的统计。</w:t>
                  </w:r>
                </w:p>
                <w:p w14:paraId="45C70A71" w14:textId="77777777" w:rsidR="00530312" w:rsidRDefault="005170F5">
                  <w:pPr>
                    <w:widowControl/>
                    <w:spacing w:line="360" w:lineRule="auto"/>
                    <w:jc w:val="left"/>
                    <w:textAlignment w:val="center"/>
                    <w:rPr>
                      <w:rFonts w:ascii="黑体" w:eastAsia="黑体" w:hAnsi="黑体" w:cs="黑体"/>
                      <w:color w:val="000000"/>
                      <w:kern w:val="0"/>
                      <w:sz w:val="24"/>
                      <w:lang w:bidi="ar"/>
                    </w:rPr>
                  </w:pPr>
                  <w:proofErr w:type="spellStart"/>
                  <w:r>
                    <w:rPr>
                      <w:rFonts w:ascii="黑体" w:eastAsia="黑体" w:hAnsi="黑体" w:cs="黑体" w:hint="eastAsia"/>
                      <w:color w:val="000000"/>
                      <w:kern w:val="0"/>
                      <w:sz w:val="24"/>
                      <w:lang w:bidi="ar"/>
                    </w:rPr>
                    <w:t>TOP5</w:t>
                  </w:r>
                  <w:proofErr w:type="spellEnd"/>
                  <w:r>
                    <w:rPr>
                      <w:rFonts w:ascii="黑体" w:eastAsia="黑体" w:hAnsi="黑体" w:cs="黑体" w:hint="eastAsia"/>
                      <w:color w:val="000000"/>
                      <w:kern w:val="0"/>
                      <w:sz w:val="24"/>
                      <w:lang w:bidi="ar"/>
                    </w:rPr>
                    <w:t>统计：支持应用使用次数使用</w:t>
                  </w:r>
                  <w:proofErr w:type="spellStart"/>
                  <w:r>
                    <w:rPr>
                      <w:rFonts w:ascii="黑体" w:eastAsia="黑体" w:hAnsi="黑体" w:cs="黑体" w:hint="eastAsia"/>
                      <w:color w:val="000000"/>
                      <w:kern w:val="0"/>
                      <w:sz w:val="24"/>
                      <w:lang w:bidi="ar"/>
                    </w:rPr>
                    <w:t>TOP5</w:t>
                  </w:r>
                  <w:proofErr w:type="spellEnd"/>
                  <w:r>
                    <w:rPr>
                      <w:rFonts w:ascii="黑体" w:eastAsia="黑体" w:hAnsi="黑体" w:cs="黑体" w:hint="eastAsia"/>
                      <w:color w:val="000000"/>
                      <w:kern w:val="0"/>
                      <w:sz w:val="24"/>
                      <w:lang w:bidi="ar"/>
                    </w:rPr>
                    <w:t>、指南使用次数使用</w:t>
                  </w:r>
                  <w:proofErr w:type="spellStart"/>
                  <w:r>
                    <w:rPr>
                      <w:rFonts w:ascii="黑体" w:eastAsia="黑体" w:hAnsi="黑体" w:cs="黑体" w:hint="eastAsia"/>
                      <w:color w:val="000000"/>
                      <w:kern w:val="0"/>
                      <w:sz w:val="24"/>
                      <w:lang w:bidi="ar"/>
                    </w:rPr>
                    <w:t>TOP5</w:t>
                  </w:r>
                  <w:proofErr w:type="spellEnd"/>
                  <w:r>
                    <w:rPr>
                      <w:rFonts w:ascii="黑体" w:eastAsia="黑体" w:hAnsi="黑体" w:cs="黑体" w:hint="eastAsia"/>
                      <w:color w:val="000000"/>
                      <w:kern w:val="0"/>
                      <w:sz w:val="24"/>
                      <w:lang w:bidi="ar"/>
                    </w:rPr>
                    <w:t>。</w:t>
                  </w:r>
                </w:p>
                <w:p w14:paraId="3B291D07"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5、移动端入口</w:t>
                  </w:r>
                </w:p>
                <w:p w14:paraId="3D635D56"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w:t>
                  </w:r>
                  <w:proofErr w:type="gramStart"/>
                  <w:r>
                    <w:rPr>
                      <w:rFonts w:ascii="黑体" w:eastAsia="黑体" w:hAnsi="黑体" w:cs="黑体" w:hint="eastAsia"/>
                      <w:color w:val="000000"/>
                      <w:kern w:val="0"/>
                      <w:sz w:val="24"/>
                      <w:lang w:bidi="ar"/>
                    </w:rPr>
                    <w:t>微信扫二维码访问微信公众号</w:t>
                  </w:r>
                  <w:proofErr w:type="gramEnd"/>
                  <w:r>
                    <w:rPr>
                      <w:rFonts w:ascii="黑体" w:eastAsia="黑体" w:hAnsi="黑体" w:cs="黑体" w:hint="eastAsia"/>
                      <w:color w:val="000000"/>
                      <w:kern w:val="0"/>
                      <w:sz w:val="24"/>
                      <w:lang w:bidi="ar"/>
                    </w:rPr>
                    <w:t>和</w:t>
                  </w:r>
                  <w:proofErr w:type="spellStart"/>
                  <w:r>
                    <w:rPr>
                      <w:rFonts w:ascii="黑体" w:eastAsia="黑体" w:hAnsi="黑体" w:cs="黑体" w:hint="eastAsia"/>
                      <w:color w:val="000000"/>
                      <w:kern w:val="0"/>
                      <w:sz w:val="24"/>
                      <w:lang w:bidi="ar"/>
                    </w:rPr>
                    <w:t>H5</w:t>
                  </w:r>
                  <w:proofErr w:type="spellEnd"/>
                  <w:r>
                    <w:rPr>
                      <w:rFonts w:ascii="黑体" w:eastAsia="黑体" w:hAnsi="黑体" w:cs="黑体" w:hint="eastAsia"/>
                      <w:color w:val="000000"/>
                      <w:kern w:val="0"/>
                      <w:sz w:val="24"/>
                      <w:lang w:bidi="ar"/>
                    </w:rPr>
                    <w:t>版。</w:t>
                  </w:r>
                </w:p>
                <w:p w14:paraId="742AE2DD"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6、兼容适配</w:t>
                  </w:r>
                </w:p>
                <w:p w14:paraId="28686A27"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必须支持Chrome、Edge、Opera、Firefox、Safari、360等浏览器。</w:t>
                  </w:r>
                </w:p>
              </w:tc>
            </w:tr>
            <w:tr w:rsidR="00530312" w14:paraId="7E0A2013" w14:textId="77777777">
              <w:trPr>
                <w:trHeight w:val="9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C33B5A"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融合门户</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56423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1、支持应用收藏、取消收藏；</w:t>
                  </w:r>
                </w:p>
                <w:p w14:paraId="30F40B2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2、根据个人行为展示常用应用，根据个人数据展现个人的集成模块，没有数据的模块系统</w:t>
                  </w:r>
                  <w:proofErr w:type="gramStart"/>
                  <w:r>
                    <w:rPr>
                      <w:rFonts w:ascii="黑体" w:eastAsia="黑体" w:hAnsi="黑体" w:cs="黑体" w:hint="eastAsia"/>
                      <w:color w:val="000000"/>
                      <w:kern w:val="0"/>
                      <w:sz w:val="24"/>
                      <w:lang w:bidi="ar"/>
                    </w:rPr>
                    <w:t>自动不</w:t>
                  </w:r>
                  <w:proofErr w:type="gramEnd"/>
                  <w:r>
                    <w:rPr>
                      <w:rFonts w:ascii="黑体" w:eastAsia="黑体" w:hAnsi="黑体" w:cs="黑体" w:hint="eastAsia"/>
                      <w:color w:val="000000"/>
                      <w:kern w:val="0"/>
                      <w:sz w:val="24"/>
                      <w:lang w:bidi="ar"/>
                    </w:rPr>
                    <w:t>展示。</w:t>
                  </w:r>
                </w:p>
                <w:p w14:paraId="5AE60B49"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3、整合各部门服务资源，向用户提供统一服务；提供个人、部门、系统日程的管理、查看功能，支持第三方日程相关数据的接入。常见对接校历、课程、会议等。提供集成第三方邮箱展示未读邮件，支持通过对接身份认证实现免二次登陆进入邮箱系统。对接第三方系统的提醒，例如图书借阅数量、预期未还数量，</w:t>
                  </w:r>
                  <w:proofErr w:type="gramStart"/>
                  <w:r>
                    <w:rPr>
                      <w:rFonts w:ascii="黑体" w:eastAsia="黑体" w:hAnsi="黑体" w:cs="黑体" w:hint="eastAsia"/>
                      <w:color w:val="000000"/>
                      <w:kern w:val="0"/>
                      <w:sz w:val="24"/>
                      <w:lang w:bidi="ar"/>
                    </w:rPr>
                    <w:t>一</w:t>
                  </w:r>
                  <w:proofErr w:type="gramEnd"/>
                  <w:r>
                    <w:rPr>
                      <w:rFonts w:ascii="黑体" w:eastAsia="黑体" w:hAnsi="黑体" w:cs="黑体" w:hint="eastAsia"/>
                      <w:color w:val="000000"/>
                      <w:kern w:val="0"/>
                      <w:sz w:val="24"/>
                      <w:lang w:bidi="ar"/>
                    </w:rPr>
                    <w:t>卡通余额，工资余额，资产待办数量等。提供用户个人任务统一展示和查询，如待办、</w:t>
                  </w:r>
                  <w:r>
                    <w:rPr>
                      <w:rFonts w:ascii="黑体" w:eastAsia="黑体" w:hAnsi="黑体" w:cs="黑体" w:hint="eastAsia"/>
                      <w:color w:val="000000"/>
                      <w:kern w:val="0"/>
                      <w:sz w:val="24"/>
                      <w:lang w:bidi="ar"/>
                    </w:rPr>
                    <w:lastRenderedPageBreak/>
                    <w:t>已办、流程追踪和流程办结等。常见对接办事大厅流程、OA等待办已办。根据师生的活动周期，使用频率，对师生推荐当前需要使用的服务，变被动服务为主动服务。支持整合全校资讯，为领导和教师提供学校和部门发文、通知公告，为学生提供院系公告、教务和学生处资讯。</w:t>
                  </w:r>
                </w:p>
              </w:tc>
            </w:tr>
            <w:tr w:rsidR="00530312" w14:paraId="249CDA1F" w14:textId="77777777">
              <w:trPr>
                <w:trHeight w:val="396"/>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2B2EB2"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融合消息中心</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B3F432"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1、用户端</w:t>
                  </w:r>
                </w:p>
                <w:p w14:paraId="0840A4A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提供PC端和移动</w:t>
                  </w:r>
                  <w:proofErr w:type="gramStart"/>
                  <w:r>
                    <w:rPr>
                      <w:rFonts w:ascii="黑体" w:eastAsia="黑体" w:hAnsi="黑体" w:cs="黑体" w:hint="eastAsia"/>
                      <w:color w:val="000000"/>
                      <w:kern w:val="0"/>
                      <w:sz w:val="24"/>
                      <w:lang w:bidi="ar"/>
                    </w:rPr>
                    <w:t>端消息</w:t>
                  </w:r>
                  <w:proofErr w:type="gramEnd"/>
                  <w:r>
                    <w:rPr>
                      <w:rFonts w:ascii="黑体" w:eastAsia="黑体" w:hAnsi="黑体" w:cs="黑体" w:hint="eastAsia"/>
                      <w:color w:val="000000"/>
                      <w:kern w:val="0"/>
                      <w:sz w:val="24"/>
                      <w:lang w:bidi="ar"/>
                    </w:rPr>
                    <w:t>通知、待办的呈现，支持消息通知和待办推送到微信、手机短信、认证门户的消息列表等消息接收端。消息支持未读/已读消息，待办支持未办/已办状态；</w:t>
                  </w:r>
                </w:p>
                <w:p w14:paraId="0F51373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支持按关键字、状态、来源、时间等条件检索消息和待办；</w:t>
                  </w:r>
                </w:p>
                <w:p w14:paraId="15AF044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支持消息渠道的订阅，如：微信、短信、门户、邮件等消息渠道。</w:t>
                  </w:r>
                </w:p>
                <w:p w14:paraId="4FE266B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2、服务端</w:t>
                  </w:r>
                </w:p>
                <w:p w14:paraId="22095848"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支持消息转发，消息接入到门户后直接转发消息到微信、邮箱、短信、门户等渠道，自定义消息字典可过滤敏感信息，自定义字典设置转发支持优先级。</w:t>
                  </w:r>
                </w:p>
                <w:p w14:paraId="283AE2A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支持已读/未读消息，返回给第三发消息ID、</w:t>
                  </w:r>
                  <w:proofErr w:type="spellStart"/>
                  <w:r>
                    <w:rPr>
                      <w:rFonts w:ascii="黑体" w:eastAsia="黑体" w:hAnsi="黑体" w:cs="黑体" w:hint="eastAsia"/>
                      <w:color w:val="000000"/>
                      <w:kern w:val="0"/>
                      <w:sz w:val="24"/>
                      <w:lang w:bidi="ar"/>
                    </w:rPr>
                    <w:t>APPID</w:t>
                  </w:r>
                  <w:proofErr w:type="spellEnd"/>
                  <w:r>
                    <w:rPr>
                      <w:rFonts w:ascii="黑体" w:eastAsia="黑体" w:hAnsi="黑体" w:cs="黑体" w:hint="eastAsia"/>
                      <w:color w:val="000000"/>
                      <w:kern w:val="0"/>
                      <w:sz w:val="24"/>
                      <w:lang w:bidi="ar"/>
                    </w:rPr>
                    <w:t>、阅读状态；</w:t>
                  </w:r>
                </w:p>
                <w:p w14:paraId="62CCF974"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支持已办/未办任务，返回给第三方消息ID、</w:t>
                  </w:r>
                  <w:proofErr w:type="spellStart"/>
                  <w:r>
                    <w:rPr>
                      <w:rFonts w:ascii="黑体" w:eastAsia="黑体" w:hAnsi="黑体" w:cs="黑体" w:hint="eastAsia"/>
                      <w:color w:val="000000"/>
                      <w:kern w:val="0"/>
                      <w:sz w:val="24"/>
                      <w:lang w:bidi="ar"/>
                    </w:rPr>
                    <w:t>APPID</w:t>
                  </w:r>
                  <w:proofErr w:type="spellEnd"/>
                  <w:r>
                    <w:rPr>
                      <w:rFonts w:ascii="黑体" w:eastAsia="黑体" w:hAnsi="黑体" w:cs="黑体" w:hint="eastAsia"/>
                      <w:color w:val="000000"/>
                      <w:kern w:val="0"/>
                      <w:sz w:val="24"/>
                      <w:lang w:bidi="ar"/>
                    </w:rPr>
                    <w:t>、标题、URL、系统名称、办理状态、创建时间、办理时间、消息渠道等新消息；</w:t>
                  </w:r>
                </w:p>
                <w:p w14:paraId="1C3B61B3"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支持按</w:t>
                  </w:r>
                  <w:proofErr w:type="spellStart"/>
                  <w:r>
                    <w:rPr>
                      <w:rFonts w:ascii="黑体" w:eastAsia="黑体" w:hAnsi="黑体" w:cs="黑体" w:hint="eastAsia"/>
                      <w:color w:val="000000"/>
                      <w:kern w:val="0"/>
                      <w:sz w:val="24"/>
                      <w:lang w:bidi="ar"/>
                    </w:rPr>
                    <w:t>APPID</w:t>
                  </w:r>
                  <w:proofErr w:type="spellEnd"/>
                  <w:r>
                    <w:rPr>
                      <w:rFonts w:ascii="黑体" w:eastAsia="黑体" w:hAnsi="黑体" w:cs="黑体" w:hint="eastAsia"/>
                      <w:color w:val="000000"/>
                      <w:kern w:val="0"/>
                      <w:sz w:val="24"/>
                      <w:lang w:bidi="ar"/>
                    </w:rPr>
                    <w:t>和Key授权接入的应用系统，并提供消息加密算法，并提供消息接口测试工具。</w:t>
                  </w:r>
                </w:p>
              </w:tc>
            </w:tr>
            <w:tr w:rsidR="00530312" w14:paraId="6662A18B" w14:textId="77777777">
              <w:trPr>
                <w:trHeight w:val="16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6E2063" w14:textId="77777777" w:rsidR="00530312" w:rsidRDefault="005170F5">
                  <w:pPr>
                    <w:widowControl/>
                    <w:spacing w:line="360" w:lineRule="auto"/>
                    <w:jc w:val="center"/>
                    <w:textAlignment w:val="center"/>
                    <w:rPr>
                      <w:rFonts w:ascii="黑体" w:eastAsia="黑体" w:hAnsi="黑体" w:cs="黑体"/>
                      <w:color w:val="000000"/>
                      <w:sz w:val="24"/>
                    </w:rPr>
                  </w:pPr>
                  <w:proofErr w:type="gramStart"/>
                  <w:r>
                    <w:rPr>
                      <w:rFonts w:ascii="黑体" w:eastAsia="黑体" w:hAnsi="黑体" w:cs="黑体" w:hint="eastAsia"/>
                      <w:color w:val="000000"/>
                      <w:kern w:val="0"/>
                      <w:sz w:val="24"/>
                      <w:lang w:bidi="ar"/>
                    </w:rPr>
                    <w:t>轻应用</w:t>
                  </w:r>
                  <w:proofErr w:type="gramEnd"/>
                  <w:r>
                    <w:rPr>
                      <w:rFonts w:ascii="黑体" w:eastAsia="黑体" w:hAnsi="黑体" w:cs="黑体" w:hint="eastAsia"/>
                      <w:color w:val="000000"/>
                      <w:kern w:val="0"/>
                      <w:sz w:val="24"/>
                      <w:lang w:bidi="ar"/>
                    </w:rPr>
                    <w:t>构建平台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A58C1F"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1、支持模板配置；可以在线复制编辑代码生成器模板，可自定义代码风格。</w:t>
                  </w:r>
                </w:p>
                <w:p w14:paraId="563C33CC"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2、支持工作流可视化，可以关联外置或者动态表单。</w:t>
                  </w:r>
                </w:p>
                <w:p w14:paraId="73F636D3"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3、支持行级权限，允许不同的人通过角色设置，看见不同的数据。</w:t>
                  </w:r>
                </w:p>
                <w:p w14:paraId="1F5CF85A"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4、支持在线设计报表。</w:t>
                  </w:r>
                </w:p>
                <w:p w14:paraId="5F9310A0"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5、支持大屏/图表/报表/首页设计器。</w:t>
                  </w:r>
                </w:p>
                <w:p w14:paraId="7A1F17E1"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6、支持动态表单。</w:t>
                  </w:r>
                </w:p>
                <w:p w14:paraId="0DC867C4"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7、低代码平台必须采用</w:t>
                  </w:r>
                  <w:proofErr w:type="gramStart"/>
                  <w:r>
                    <w:rPr>
                      <w:rFonts w:ascii="黑体" w:eastAsia="黑体" w:hAnsi="黑体" w:cs="黑体" w:hint="eastAsia"/>
                      <w:color w:val="000000"/>
                      <w:kern w:val="0"/>
                      <w:sz w:val="24"/>
                      <w:lang w:bidi="ar"/>
                    </w:rPr>
                    <w:t>私有云部署</w:t>
                  </w:r>
                  <w:proofErr w:type="gramEnd"/>
                  <w:r>
                    <w:rPr>
                      <w:rFonts w:ascii="黑体" w:eastAsia="黑体" w:hAnsi="黑体" w:cs="黑体" w:hint="eastAsia"/>
                      <w:color w:val="000000"/>
                      <w:kern w:val="0"/>
                      <w:sz w:val="24"/>
                      <w:lang w:bidi="ar"/>
                    </w:rPr>
                    <w:t>模式，数据必须在校内。</w:t>
                  </w:r>
                </w:p>
              </w:tc>
            </w:tr>
            <w:tr w:rsidR="00530312" w14:paraId="42E4F9B9" w14:textId="77777777">
              <w:trPr>
                <w:trHeight w:val="72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7BDAE1"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移动业务中台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502D19"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1、具有首页、应用、消息、个人中心等功能。</w:t>
                  </w:r>
                </w:p>
                <w:p w14:paraId="77AE0230"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2、提供</w:t>
                  </w:r>
                  <w:proofErr w:type="spellStart"/>
                  <w:r>
                    <w:rPr>
                      <w:rFonts w:ascii="黑体" w:eastAsia="黑体" w:hAnsi="黑体" w:cs="黑体" w:hint="eastAsia"/>
                      <w:color w:val="000000"/>
                      <w:kern w:val="0"/>
                      <w:sz w:val="24"/>
                      <w:lang w:bidi="ar"/>
                    </w:rPr>
                    <w:t>h5</w:t>
                  </w:r>
                  <w:proofErr w:type="spellEnd"/>
                  <w:r>
                    <w:rPr>
                      <w:rFonts w:ascii="黑体" w:eastAsia="黑体" w:hAnsi="黑体" w:cs="黑体" w:hint="eastAsia"/>
                      <w:color w:val="000000"/>
                      <w:kern w:val="0"/>
                      <w:sz w:val="24"/>
                      <w:lang w:bidi="ar"/>
                    </w:rPr>
                    <w:t>版本的移动门户，支持扩展到app、小程序、</w:t>
                  </w:r>
                  <w:proofErr w:type="gramStart"/>
                  <w:r>
                    <w:rPr>
                      <w:rFonts w:ascii="黑体" w:eastAsia="黑体" w:hAnsi="黑体" w:cs="黑体" w:hint="eastAsia"/>
                      <w:color w:val="000000"/>
                      <w:kern w:val="0"/>
                      <w:sz w:val="24"/>
                      <w:lang w:bidi="ar"/>
                    </w:rPr>
                    <w:t>微信企业</w:t>
                  </w:r>
                  <w:proofErr w:type="gramEnd"/>
                  <w:r>
                    <w:rPr>
                      <w:rFonts w:ascii="黑体" w:eastAsia="黑体" w:hAnsi="黑体" w:cs="黑体" w:hint="eastAsia"/>
                      <w:color w:val="000000"/>
                      <w:kern w:val="0"/>
                      <w:sz w:val="24"/>
                      <w:lang w:bidi="ar"/>
                    </w:rPr>
                    <w:t>号、钉钉等。</w:t>
                  </w:r>
                </w:p>
              </w:tc>
            </w:tr>
            <w:tr w:rsidR="00530312" w14:paraId="49ABDC01" w14:textId="77777777">
              <w:trPr>
                <w:trHeight w:val="9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266A5B"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应用服务建设</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70B7C5"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1、办事服务：办事服务包含安保服务、党办服务、法律服务、工会服务、基建服务、科研服务、人事服务、学工服务等类型的表单级场景服务和办事服务指南，支持PC和移动端、支持根据学校需求配置（默认建设50个表单级应用）。</w:t>
                  </w:r>
                </w:p>
                <w:p w14:paraId="1784682E" w14:textId="77777777" w:rsidR="00530312" w:rsidRDefault="005170F5">
                  <w:pPr>
                    <w:widowControl/>
                    <w:spacing w:line="360" w:lineRule="auto"/>
                    <w:jc w:val="left"/>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lastRenderedPageBreak/>
                    <w:t>2、集成服务：集成学校现有接入单点登录的业务系统，包含食堂运营平台、后勤水电系统、学工系统、教务系统、钉钉（人事）、门禁系统、OA系统、图书馆系统、财务系统等9个系统。</w:t>
                  </w:r>
                </w:p>
                <w:p w14:paraId="2108FA31"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3、消息集成：集成OA待办、OA消息等消息公告服务。</w:t>
                  </w:r>
                </w:p>
              </w:tc>
            </w:tr>
            <w:tr w:rsidR="00530312" w14:paraId="1A44159D" w14:textId="77777777">
              <w:trPr>
                <w:trHeight w:val="48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339DFB"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lastRenderedPageBreak/>
                    <w:t>接口文档平台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E18B8A"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支持全文检索，能满足学校的信息标准、</w:t>
                  </w:r>
                  <w:proofErr w:type="gramStart"/>
                  <w:r>
                    <w:rPr>
                      <w:rFonts w:ascii="黑体" w:eastAsia="黑体" w:hAnsi="黑体" w:cs="黑体" w:hint="eastAsia"/>
                      <w:color w:val="000000"/>
                      <w:kern w:val="0"/>
                      <w:sz w:val="24"/>
                      <w:lang w:bidi="ar"/>
                    </w:rPr>
                    <w:t>安全运维保障</w:t>
                  </w:r>
                  <w:proofErr w:type="gramEnd"/>
                  <w:r>
                    <w:rPr>
                      <w:rFonts w:ascii="黑体" w:eastAsia="黑体" w:hAnsi="黑体" w:cs="黑体" w:hint="eastAsia"/>
                      <w:color w:val="000000"/>
                      <w:kern w:val="0"/>
                      <w:sz w:val="24"/>
                      <w:lang w:bidi="ar"/>
                    </w:rPr>
                    <w:t>规范、数据治理规范、数据集成对接规范、统一身份认证平台、一网通办、融合门户、融合消息中心、</w:t>
                  </w:r>
                  <w:proofErr w:type="gramStart"/>
                  <w:r>
                    <w:rPr>
                      <w:rFonts w:ascii="黑体" w:eastAsia="黑体" w:hAnsi="黑体" w:cs="黑体" w:hint="eastAsia"/>
                      <w:color w:val="000000"/>
                      <w:kern w:val="0"/>
                      <w:sz w:val="24"/>
                      <w:lang w:bidi="ar"/>
                    </w:rPr>
                    <w:t>轻应用</w:t>
                  </w:r>
                  <w:proofErr w:type="gramEnd"/>
                  <w:r>
                    <w:rPr>
                      <w:rFonts w:ascii="黑体" w:eastAsia="黑体" w:hAnsi="黑体" w:cs="黑体" w:hint="eastAsia"/>
                      <w:color w:val="000000"/>
                      <w:kern w:val="0"/>
                      <w:sz w:val="24"/>
                      <w:lang w:bidi="ar"/>
                    </w:rPr>
                    <w:t>构建平台、移动业务中台、数据中台等文档,对外提供在线查询和管理的需求。</w:t>
                  </w:r>
                </w:p>
              </w:tc>
            </w:tr>
          </w:tbl>
          <w:p w14:paraId="53207FA8"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（三）大数据教学实训平台</w:t>
            </w:r>
          </w:p>
          <w:tbl>
            <w:tblPr>
              <w:tblW w:w="0" w:type="auto"/>
              <w:tblLayout w:type="fixed"/>
              <w:tblCellMar>
                <w:left w:w="0" w:type="dxa"/>
                <w:right w:w="0" w:type="dxa"/>
              </w:tblCellMar>
              <w:tblLook w:val="04A0" w:firstRow="1" w:lastRow="0" w:firstColumn="1" w:lastColumn="0" w:noHBand="0" w:noVBand="1"/>
            </w:tblPr>
            <w:tblGrid>
              <w:gridCol w:w="1251"/>
              <w:gridCol w:w="8485"/>
            </w:tblGrid>
            <w:tr w:rsidR="00530312" w14:paraId="30720AEF" w14:textId="77777777">
              <w:trPr>
                <w:trHeight w:val="3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A02BA7"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系统模块</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5BE78C"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功能简述</w:t>
                  </w:r>
                </w:p>
              </w:tc>
            </w:tr>
            <w:tr w:rsidR="00530312" w14:paraId="25D6F104" w14:textId="77777777">
              <w:trPr>
                <w:trHeight w:val="1432"/>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7D7EDD"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大数据教学实训平台</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EAE61B"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kern w:val="0"/>
                      <w:sz w:val="24"/>
                      <w:lang w:bidi="ar"/>
                    </w:rPr>
                    <w:t>支持数据交换平台、接口管理平台、数据标准管理平台、数据质量管理平台、数据资产确权管理平台、数据及应用的生命周期管理平台、数据目录管理平台、元数据管理平台、基础大数据平台、数据安全管理平台、数据可视化软件。能够用于大数据教学实训。</w:t>
                  </w:r>
                </w:p>
              </w:tc>
            </w:tr>
          </w:tbl>
          <w:p w14:paraId="0943B4AD" w14:textId="77777777" w:rsidR="00530312" w:rsidRDefault="005170F5">
            <w:pPr>
              <w:spacing w:line="360" w:lineRule="auto"/>
              <w:ind w:left="17" w:firstLine="403"/>
              <w:rPr>
                <w:rFonts w:ascii="黑体" w:eastAsia="黑体" w:hAnsi="黑体" w:cs="黑体"/>
                <w:b/>
                <w:bCs/>
                <w:sz w:val="24"/>
              </w:rPr>
            </w:pPr>
            <w:r>
              <w:rPr>
                <w:rFonts w:ascii="黑体" w:eastAsia="黑体" w:hAnsi="黑体" w:cs="黑体" w:hint="eastAsia"/>
                <w:b/>
                <w:bCs/>
                <w:sz w:val="24"/>
              </w:rPr>
              <w:t>（四）安全及售后</w:t>
            </w:r>
          </w:p>
          <w:tbl>
            <w:tblPr>
              <w:tblW w:w="0" w:type="auto"/>
              <w:tblLayout w:type="fixed"/>
              <w:tblCellMar>
                <w:left w:w="0" w:type="dxa"/>
                <w:right w:w="0" w:type="dxa"/>
              </w:tblCellMar>
              <w:tblLook w:val="04A0" w:firstRow="1" w:lastRow="0" w:firstColumn="1" w:lastColumn="0" w:noHBand="0" w:noVBand="1"/>
            </w:tblPr>
            <w:tblGrid>
              <w:gridCol w:w="1251"/>
              <w:gridCol w:w="8485"/>
            </w:tblGrid>
            <w:tr w:rsidR="00530312" w14:paraId="5B2D4FD6" w14:textId="77777777">
              <w:trPr>
                <w:trHeight w:val="36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993BC0"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kern w:val="0"/>
                      <w:sz w:val="24"/>
                      <w:lang w:bidi="ar"/>
                    </w:rPr>
                    <w:t>项目</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831035" w14:textId="77777777" w:rsidR="00530312" w:rsidRDefault="005170F5">
                  <w:pPr>
                    <w:widowControl/>
                    <w:spacing w:line="360" w:lineRule="auto"/>
                    <w:jc w:val="center"/>
                    <w:textAlignment w:val="center"/>
                    <w:rPr>
                      <w:rFonts w:ascii="黑体" w:eastAsia="黑体" w:hAnsi="黑体" w:cs="黑体"/>
                      <w:b/>
                      <w:color w:val="000000"/>
                      <w:sz w:val="24"/>
                    </w:rPr>
                  </w:pPr>
                  <w:r>
                    <w:rPr>
                      <w:rFonts w:ascii="黑体" w:eastAsia="黑体" w:hAnsi="黑体" w:cs="黑体" w:hint="eastAsia"/>
                      <w:b/>
                      <w:color w:val="000000"/>
                      <w:sz w:val="24"/>
                    </w:rPr>
                    <w:t>要求</w:t>
                  </w:r>
                </w:p>
              </w:tc>
            </w:tr>
            <w:tr w:rsidR="00530312" w14:paraId="4552BAAA" w14:textId="77777777">
              <w:trPr>
                <w:trHeight w:val="600"/>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07DD55" w14:textId="77777777" w:rsidR="00530312" w:rsidRDefault="005170F5">
                  <w:pPr>
                    <w:widowControl/>
                    <w:spacing w:line="360" w:lineRule="auto"/>
                    <w:textAlignment w:val="center"/>
                    <w:rPr>
                      <w:rFonts w:ascii="黑体" w:eastAsia="黑体" w:hAnsi="黑体" w:cs="黑体"/>
                      <w:color w:val="000000"/>
                      <w:sz w:val="24"/>
                    </w:rPr>
                  </w:pPr>
                  <w:r>
                    <w:rPr>
                      <w:rFonts w:ascii="黑体" w:eastAsia="黑体" w:hAnsi="黑体" w:cs="黑体" w:hint="eastAsia"/>
                      <w:color w:val="000000"/>
                      <w:sz w:val="24"/>
                    </w:rPr>
                    <w:t>安全</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7F942F"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sz w:val="24"/>
                    </w:rPr>
                    <w:t>平台自身安全漏洞，不论是否在售后期限内，必须无条件进行修复。</w:t>
                  </w:r>
                </w:p>
              </w:tc>
            </w:tr>
            <w:tr w:rsidR="00530312" w14:paraId="7CD08FD3" w14:textId="77777777">
              <w:trPr>
                <w:trHeight w:val="518"/>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EA6D06" w14:textId="77777777" w:rsidR="00530312" w:rsidRDefault="005170F5">
                  <w:pPr>
                    <w:widowControl/>
                    <w:spacing w:line="360" w:lineRule="auto"/>
                    <w:textAlignment w:val="center"/>
                    <w:rPr>
                      <w:rFonts w:ascii="黑体" w:eastAsia="黑体" w:hAnsi="黑体" w:cs="黑体"/>
                      <w:color w:val="000000"/>
                      <w:sz w:val="24"/>
                    </w:rPr>
                  </w:pPr>
                  <w:r>
                    <w:rPr>
                      <w:rFonts w:ascii="黑体" w:eastAsia="黑体" w:hAnsi="黑体" w:cs="黑体" w:hint="eastAsia"/>
                      <w:color w:val="000000"/>
                      <w:sz w:val="24"/>
                    </w:rPr>
                    <w:t>硬件设备或数据系统</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869C65" w14:textId="77777777" w:rsidR="00530312" w:rsidRDefault="005170F5">
                  <w:pPr>
                    <w:widowControl/>
                    <w:spacing w:line="360" w:lineRule="auto"/>
                    <w:jc w:val="left"/>
                    <w:textAlignment w:val="center"/>
                    <w:rPr>
                      <w:rFonts w:ascii="黑体" w:eastAsia="黑体" w:hAnsi="黑体" w:cs="黑体"/>
                      <w:color w:val="000000"/>
                      <w:sz w:val="24"/>
                    </w:rPr>
                  </w:pPr>
                  <w:proofErr w:type="gramStart"/>
                  <w:r>
                    <w:rPr>
                      <w:rFonts w:ascii="黑体" w:eastAsia="黑体" w:hAnsi="黑体" w:cs="黑体" w:hint="eastAsia"/>
                      <w:color w:val="000000"/>
                      <w:sz w:val="24"/>
                    </w:rPr>
                    <w:t>不</w:t>
                  </w:r>
                  <w:proofErr w:type="gramEnd"/>
                  <w:r>
                    <w:rPr>
                      <w:rFonts w:ascii="黑体" w:eastAsia="黑体" w:hAnsi="黑体" w:cs="黑体" w:hint="eastAsia"/>
                      <w:color w:val="000000"/>
                      <w:sz w:val="24"/>
                    </w:rPr>
                    <w:t>得用硬件锁、软件锁的方式进行系统限制，支持分布式集群部署。如需更换硬件，应配合学校进行迁移。本次平台须使用商业数据库，且须本地化部署，并满足</w:t>
                  </w:r>
                  <w:proofErr w:type="gramStart"/>
                  <w:r>
                    <w:rPr>
                      <w:rFonts w:ascii="黑体" w:eastAsia="黑体" w:hAnsi="黑体" w:cs="黑体" w:hint="eastAsia"/>
                      <w:color w:val="000000"/>
                      <w:sz w:val="24"/>
                    </w:rPr>
                    <w:t>国产信创</w:t>
                  </w:r>
                  <w:proofErr w:type="gramEnd"/>
                  <w:r>
                    <w:rPr>
                      <w:rFonts w:ascii="黑体" w:eastAsia="黑体" w:hAnsi="黑体" w:cs="黑体" w:hint="eastAsia"/>
                      <w:color w:val="000000"/>
                      <w:sz w:val="24"/>
                    </w:rPr>
                    <w:t>工程要求，在服务期内支撑迁移到其他校本</w:t>
                  </w:r>
                  <w:proofErr w:type="gramStart"/>
                  <w:r>
                    <w:rPr>
                      <w:rFonts w:ascii="黑体" w:eastAsia="黑体" w:hAnsi="黑体" w:cs="黑体" w:hint="eastAsia"/>
                      <w:color w:val="000000"/>
                      <w:sz w:val="24"/>
                    </w:rPr>
                    <w:t>私有云计算</w:t>
                  </w:r>
                  <w:proofErr w:type="gramEnd"/>
                  <w:r>
                    <w:rPr>
                      <w:rFonts w:ascii="黑体" w:eastAsia="黑体" w:hAnsi="黑体" w:cs="黑体" w:hint="eastAsia"/>
                      <w:color w:val="000000"/>
                      <w:sz w:val="24"/>
                    </w:rPr>
                    <w:t>资源环境。</w:t>
                  </w:r>
                </w:p>
              </w:tc>
            </w:tr>
            <w:tr w:rsidR="00530312" w14:paraId="40115C0C" w14:textId="77777777">
              <w:trPr>
                <w:trHeight w:val="444"/>
              </w:trPr>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C18448" w14:textId="77777777" w:rsidR="00530312" w:rsidRDefault="005170F5">
                  <w:pPr>
                    <w:widowControl/>
                    <w:spacing w:line="360" w:lineRule="auto"/>
                    <w:jc w:val="center"/>
                    <w:textAlignment w:val="center"/>
                    <w:rPr>
                      <w:rFonts w:ascii="黑体" w:eastAsia="黑体" w:hAnsi="黑体" w:cs="黑体"/>
                      <w:color w:val="000000"/>
                      <w:sz w:val="24"/>
                    </w:rPr>
                  </w:pPr>
                  <w:r>
                    <w:rPr>
                      <w:rFonts w:ascii="黑体" w:eastAsia="黑体" w:hAnsi="黑体" w:cs="黑体" w:hint="eastAsia"/>
                      <w:color w:val="000000"/>
                      <w:sz w:val="24"/>
                    </w:rPr>
                    <w:t>售后</w:t>
                  </w:r>
                </w:p>
              </w:tc>
              <w:tc>
                <w:tcPr>
                  <w:tcW w:w="84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8D8BE5" w14:textId="77777777" w:rsidR="00530312" w:rsidRDefault="005170F5">
                  <w:pPr>
                    <w:widowControl/>
                    <w:spacing w:line="360" w:lineRule="auto"/>
                    <w:jc w:val="left"/>
                    <w:textAlignment w:val="center"/>
                    <w:rPr>
                      <w:rFonts w:ascii="黑体" w:eastAsia="黑体" w:hAnsi="黑体" w:cs="黑体"/>
                      <w:color w:val="000000"/>
                      <w:sz w:val="24"/>
                    </w:rPr>
                  </w:pPr>
                  <w:r>
                    <w:rPr>
                      <w:rFonts w:ascii="黑体" w:eastAsia="黑体" w:hAnsi="黑体" w:cs="黑体" w:hint="eastAsia"/>
                      <w:color w:val="000000"/>
                      <w:sz w:val="24"/>
                    </w:rPr>
                    <w:t>本次采购的所有软件系统的运维服务3年，包含新增业务系统的对接服务。</w:t>
                  </w:r>
                </w:p>
              </w:tc>
            </w:tr>
          </w:tbl>
          <w:p w14:paraId="62CA8A28" w14:textId="77777777" w:rsidR="00530312" w:rsidRDefault="005170F5">
            <w:pPr>
              <w:spacing w:line="360" w:lineRule="auto"/>
              <w:ind w:firstLineChars="200" w:firstLine="482"/>
              <w:rPr>
                <w:rFonts w:ascii="黑体" w:eastAsia="黑体" w:hAnsi="黑体" w:cs="黑体"/>
                <w:b/>
                <w:sz w:val="24"/>
              </w:rPr>
            </w:pPr>
            <w:r>
              <w:rPr>
                <w:rFonts w:ascii="黑体" w:eastAsia="黑体" w:hAnsi="黑体" w:cs="黑体" w:hint="eastAsia"/>
                <w:b/>
                <w:sz w:val="24"/>
              </w:rPr>
              <w:t>（五）配套硬件</w:t>
            </w:r>
          </w:p>
          <w:tbl>
            <w:tblPr>
              <w:tblW w:w="7615" w:type="dxa"/>
              <w:tblInd w:w="93" w:type="dxa"/>
              <w:tblLayout w:type="fixed"/>
              <w:tblLook w:val="04A0" w:firstRow="1" w:lastRow="0" w:firstColumn="1" w:lastColumn="0" w:noHBand="0" w:noVBand="1"/>
            </w:tblPr>
            <w:tblGrid>
              <w:gridCol w:w="1801"/>
              <w:gridCol w:w="915"/>
              <w:gridCol w:w="3457"/>
              <w:gridCol w:w="841"/>
              <w:gridCol w:w="601"/>
            </w:tblGrid>
            <w:tr w:rsidR="00530312" w14:paraId="5D510017" w14:textId="77777777">
              <w:trPr>
                <w:trHeight w:val="360"/>
              </w:trPr>
              <w:tc>
                <w:tcPr>
                  <w:tcW w:w="1801" w:type="dxa"/>
                  <w:tcBorders>
                    <w:top w:val="single" w:sz="4" w:space="0" w:color="000000"/>
                    <w:left w:val="single" w:sz="4" w:space="0" w:color="000000"/>
                    <w:bottom w:val="single" w:sz="4" w:space="0" w:color="000000"/>
                    <w:right w:val="single" w:sz="4" w:space="0" w:color="000000"/>
                  </w:tcBorders>
                  <w:noWrap/>
                  <w:vAlign w:val="center"/>
                </w:tcPr>
                <w:p w14:paraId="2CF16DBA" w14:textId="77777777" w:rsidR="00530312" w:rsidRDefault="005170F5">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设备名称</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3F2197EF" w14:textId="77777777" w:rsidR="00530312" w:rsidRDefault="005170F5">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部件</w:t>
                  </w:r>
                </w:p>
              </w:tc>
              <w:tc>
                <w:tcPr>
                  <w:tcW w:w="3457" w:type="dxa"/>
                  <w:tcBorders>
                    <w:top w:val="single" w:sz="4" w:space="0" w:color="000000"/>
                    <w:left w:val="single" w:sz="4" w:space="0" w:color="000000"/>
                    <w:bottom w:val="single" w:sz="4" w:space="0" w:color="000000"/>
                    <w:right w:val="single" w:sz="4" w:space="0" w:color="000000"/>
                  </w:tcBorders>
                  <w:noWrap/>
                  <w:vAlign w:val="center"/>
                </w:tcPr>
                <w:p w14:paraId="43A5979C" w14:textId="77777777" w:rsidR="00530312" w:rsidRDefault="005170F5">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基本描述</w:t>
                  </w:r>
                </w:p>
              </w:tc>
              <w:tc>
                <w:tcPr>
                  <w:tcW w:w="841" w:type="dxa"/>
                  <w:tcBorders>
                    <w:top w:val="single" w:sz="4" w:space="0" w:color="000000"/>
                    <w:left w:val="single" w:sz="4" w:space="0" w:color="000000"/>
                    <w:bottom w:val="single" w:sz="4" w:space="0" w:color="000000"/>
                    <w:right w:val="single" w:sz="4" w:space="0" w:color="000000"/>
                  </w:tcBorders>
                  <w:noWrap/>
                  <w:vAlign w:val="center"/>
                </w:tcPr>
                <w:p w14:paraId="6A051762" w14:textId="77777777" w:rsidR="00530312" w:rsidRDefault="005170F5">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配件数量</w:t>
                  </w:r>
                </w:p>
              </w:tc>
              <w:tc>
                <w:tcPr>
                  <w:tcW w:w="601" w:type="dxa"/>
                  <w:tcBorders>
                    <w:top w:val="single" w:sz="4" w:space="0" w:color="000000"/>
                    <w:left w:val="single" w:sz="4" w:space="0" w:color="000000"/>
                    <w:bottom w:val="single" w:sz="4" w:space="0" w:color="000000"/>
                    <w:right w:val="single" w:sz="4" w:space="0" w:color="000000"/>
                  </w:tcBorders>
                  <w:noWrap/>
                  <w:vAlign w:val="center"/>
                </w:tcPr>
                <w:p w14:paraId="3131D5DF" w14:textId="77777777" w:rsidR="00530312" w:rsidRDefault="005170F5">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套数</w:t>
                  </w:r>
                </w:p>
              </w:tc>
            </w:tr>
            <w:tr w:rsidR="00530312" w14:paraId="20BA1D9D" w14:textId="77777777">
              <w:trPr>
                <w:trHeight w:val="285"/>
              </w:trPr>
              <w:tc>
                <w:tcPr>
                  <w:tcW w:w="1801" w:type="dxa"/>
                  <w:vMerge w:val="restart"/>
                  <w:tcBorders>
                    <w:top w:val="single" w:sz="4" w:space="0" w:color="000000"/>
                    <w:left w:val="single" w:sz="4" w:space="0" w:color="000000"/>
                    <w:bottom w:val="single" w:sz="4" w:space="0" w:color="000000"/>
                    <w:right w:val="single" w:sz="4" w:space="0" w:color="000000"/>
                  </w:tcBorders>
                  <w:noWrap/>
                  <w:vAlign w:val="center"/>
                </w:tcPr>
                <w:p w14:paraId="586F3AF7" w14:textId="77777777" w:rsidR="00530312" w:rsidRDefault="005170F5">
                  <w:pPr>
                    <w:widowControl/>
                    <w:jc w:val="center"/>
                    <w:textAlignment w:val="center"/>
                    <w:rPr>
                      <w:rFonts w:ascii="宋体" w:hAnsi="宋体" w:cs="宋体"/>
                      <w:color w:val="000000"/>
                      <w:sz w:val="24"/>
                    </w:rPr>
                  </w:pPr>
                  <w:r>
                    <w:rPr>
                      <w:rFonts w:ascii="宋体" w:hAnsi="宋体" w:cs="宋体" w:hint="eastAsia"/>
                      <w:color w:val="000000"/>
                      <w:kern w:val="0"/>
                      <w:sz w:val="24"/>
                      <w:lang w:bidi="ar"/>
                    </w:rPr>
                    <w:t>服务器</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1851341"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主机</w:t>
                  </w:r>
                </w:p>
              </w:tc>
              <w:tc>
                <w:tcPr>
                  <w:tcW w:w="3457" w:type="dxa"/>
                  <w:tcBorders>
                    <w:top w:val="single" w:sz="4" w:space="0" w:color="000000"/>
                    <w:left w:val="single" w:sz="4" w:space="0" w:color="000000"/>
                    <w:bottom w:val="single" w:sz="4" w:space="0" w:color="000000"/>
                    <w:right w:val="single" w:sz="4" w:space="0" w:color="000000"/>
                  </w:tcBorders>
                  <w:vAlign w:val="center"/>
                </w:tcPr>
                <w:p w14:paraId="0F4D1100"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2U</w:t>
                  </w:r>
                  <w:proofErr w:type="spellEnd"/>
                  <w:r>
                    <w:rPr>
                      <w:rFonts w:ascii="微软雅黑" w:eastAsia="微软雅黑" w:hAnsi="微软雅黑" w:cs="微软雅黑" w:hint="eastAsia"/>
                      <w:color w:val="000000"/>
                      <w:kern w:val="0"/>
                      <w:sz w:val="16"/>
                      <w:szCs w:val="16"/>
                      <w:lang w:bidi="ar"/>
                    </w:rPr>
                    <w:t xml:space="preserve"> 12*3.5英寸硬盘机箱，</w:t>
                  </w:r>
                  <w:proofErr w:type="spellStart"/>
                  <w:r>
                    <w:rPr>
                      <w:rFonts w:ascii="微软雅黑" w:eastAsia="微软雅黑" w:hAnsi="微软雅黑" w:cs="微软雅黑" w:hint="eastAsia"/>
                      <w:color w:val="000000"/>
                      <w:kern w:val="0"/>
                      <w:sz w:val="16"/>
                      <w:szCs w:val="16"/>
                      <w:lang w:bidi="ar"/>
                    </w:rPr>
                    <w:t>12x3.5</w:t>
                  </w:r>
                  <w:proofErr w:type="spellEnd"/>
                  <w:r>
                    <w:rPr>
                      <w:rFonts w:ascii="微软雅黑" w:eastAsia="微软雅黑" w:hAnsi="微软雅黑" w:cs="微软雅黑" w:hint="eastAsia"/>
                      <w:color w:val="000000"/>
                      <w:kern w:val="0"/>
                      <w:sz w:val="16"/>
                      <w:szCs w:val="16"/>
                      <w:lang w:bidi="ar"/>
                    </w:rPr>
                    <w:t xml:space="preserve"> 英寸硬盘</w:t>
                  </w:r>
                  <w:proofErr w:type="spellStart"/>
                  <w:r>
                    <w:rPr>
                      <w:rFonts w:ascii="微软雅黑" w:eastAsia="微软雅黑" w:hAnsi="微软雅黑" w:cs="微软雅黑" w:hint="eastAsia"/>
                      <w:color w:val="000000"/>
                      <w:kern w:val="0"/>
                      <w:sz w:val="16"/>
                      <w:szCs w:val="16"/>
                      <w:lang w:bidi="ar"/>
                    </w:rPr>
                    <w:t>ext</w:t>
                  </w:r>
                  <w:proofErr w:type="spellEnd"/>
                  <w:r>
                    <w:rPr>
                      <w:rFonts w:ascii="微软雅黑" w:eastAsia="微软雅黑" w:hAnsi="微软雅黑" w:cs="微软雅黑" w:hint="eastAsia"/>
                      <w:color w:val="000000"/>
                      <w:kern w:val="0"/>
                      <w:sz w:val="16"/>
                      <w:szCs w:val="16"/>
                      <w:lang w:bidi="ar"/>
                    </w:rPr>
                    <w:t xml:space="preserve">背板+4 </w:t>
                  </w:r>
                  <w:proofErr w:type="spellStart"/>
                  <w:r>
                    <w:rPr>
                      <w:rFonts w:ascii="微软雅黑" w:eastAsia="微软雅黑" w:hAnsi="微软雅黑" w:cs="微软雅黑" w:hint="eastAsia"/>
                      <w:color w:val="000000"/>
                      <w:kern w:val="0"/>
                      <w:sz w:val="16"/>
                      <w:szCs w:val="16"/>
                      <w:lang w:bidi="ar"/>
                    </w:rPr>
                    <w:t>NVMe</w:t>
                  </w:r>
                  <w:proofErr w:type="spellEnd"/>
                  <w:r>
                    <w:rPr>
                      <w:rFonts w:ascii="微软雅黑" w:eastAsia="微软雅黑" w:hAnsi="微软雅黑" w:cs="微软雅黑" w:hint="eastAsia"/>
                      <w:color w:val="000000"/>
                      <w:kern w:val="0"/>
                      <w:sz w:val="16"/>
                      <w:szCs w:val="16"/>
                      <w:lang w:bidi="ar"/>
                    </w:rPr>
                    <w:t>后置背板</w:t>
                  </w:r>
                </w:p>
              </w:tc>
              <w:tc>
                <w:tcPr>
                  <w:tcW w:w="841" w:type="dxa"/>
                  <w:tcBorders>
                    <w:top w:val="single" w:sz="4" w:space="0" w:color="000000"/>
                    <w:left w:val="single" w:sz="4" w:space="0" w:color="000000"/>
                    <w:bottom w:val="single" w:sz="4" w:space="0" w:color="000000"/>
                    <w:right w:val="single" w:sz="4" w:space="0" w:color="000000"/>
                  </w:tcBorders>
                  <w:vAlign w:val="center"/>
                </w:tcPr>
                <w:p w14:paraId="48A6CD27"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val="restart"/>
                  <w:tcBorders>
                    <w:top w:val="single" w:sz="4" w:space="0" w:color="000000"/>
                    <w:left w:val="single" w:sz="4" w:space="0" w:color="000000"/>
                    <w:bottom w:val="single" w:sz="4" w:space="0" w:color="000000"/>
                    <w:right w:val="single" w:sz="4" w:space="0" w:color="000000"/>
                  </w:tcBorders>
                  <w:vAlign w:val="center"/>
                </w:tcPr>
                <w:p w14:paraId="6FE2FCE3" w14:textId="77777777" w:rsidR="00530312" w:rsidRDefault="005170F5">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r>
            <w:tr w:rsidR="00530312" w14:paraId="07660359"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53C3F798"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60389D9"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CPU</w:t>
                  </w:r>
                </w:p>
              </w:tc>
              <w:tc>
                <w:tcPr>
                  <w:tcW w:w="3457" w:type="dxa"/>
                  <w:tcBorders>
                    <w:top w:val="single" w:sz="4" w:space="0" w:color="000000"/>
                    <w:left w:val="single" w:sz="4" w:space="0" w:color="000000"/>
                    <w:bottom w:val="single" w:sz="4" w:space="0" w:color="000000"/>
                    <w:right w:val="single" w:sz="4" w:space="0" w:color="000000"/>
                  </w:tcBorders>
                  <w:vAlign w:val="center"/>
                </w:tcPr>
                <w:p w14:paraId="39D18757"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银牌4316</w:t>
                  </w:r>
                </w:p>
              </w:tc>
              <w:tc>
                <w:tcPr>
                  <w:tcW w:w="841" w:type="dxa"/>
                  <w:tcBorders>
                    <w:top w:val="single" w:sz="4" w:space="0" w:color="000000"/>
                    <w:left w:val="single" w:sz="4" w:space="0" w:color="000000"/>
                    <w:bottom w:val="single" w:sz="4" w:space="0" w:color="000000"/>
                    <w:right w:val="single" w:sz="4" w:space="0" w:color="000000"/>
                  </w:tcBorders>
                  <w:vAlign w:val="center"/>
                </w:tcPr>
                <w:p w14:paraId="427F0999"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374E4A29" w14:textId="77777777" w:rsidR="00530312" w:rsidRDefault="00530312">
                  <w:pPr>
                    <w:jc w:val="center"/>
                    <w:rPr>
                      <w:rFonts w:ascii="宋体" w:hAnsi="宋体" w:cs="宋体"/>
                      <w:color w:val="000000"/>
                      <w:sz w:val="24"/>
                    </w:rPr>
                  </w:pPr>
                </w:p>
              </w:tc>
            </w:tr>
            <w:tr w:rsidR="00530312" w14:paraId="51867D17" w14:textId="77777777">
              <w:trPr>
                <w:trHeight w:val="540"/>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1727B7F4"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6465190"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内存</w:t>
                  </w:r>
                </w:p>
              </w:tc>
              <w:tc>
                <w:tcPr>
                  <w:tcW w:w="3457" w:type="dxa"/>
                  <w:tcBorders>
                    <w:top w:val="single" w:sz="4" w:space="0" w:color="000000"/>
                    <w:left w:val="single" w:sz="4" w:space="0" w:color="000000"/>
                    <w:bottom w:val="single" w:sz="4" w:space="0" w:color="000000"/>
                    <w:right w:val="single" w:sz="4" w:space="0" w:color="000000"/>
                  </w:tcBorders>
                  <w:vAlign w:val="center"/>
                </w:tcPr>
                <w:p w14:paraId="6DF2E197"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DDR4</w:t>
                  </w:r>
                  <w:proofErr w:type="spellEnd"/>
                  <w:r>
                    <w:rPr>
                      <w:rFonts w:ascii="微软雅黑" w:eastAsia="微软雅黑" w:hAnsi="微软雅黑" w:cs="微软雅黑" w:hint="eastAsia"/>
                      <w:color w:val="000000"/>
                      <w:kern w:val="0"/>
                      <w:sz w:val="16"/>
                      <w:szCs w:val="16"/>
                      <w:lang w:bidi="ar"/>
                    </w:rPr>
                    <w:t xml:space="preserve"> </w:t>
                  </w:r>
                  <w:proofErr w:type="spellStart"/>
                  <w:r>
                    <w:rPr>
                      <w:rFonts w:ascii="微软雅黑" w:eastAsia="微软雅黑" w:hAnsi="微软雅黑" w:cs="微软雅黑" w:hint="eastAsia"/>
                      <w:color w:val="000000"/>
                      <w:kern w:val="0"/>
                      <w:sz w:val="16"/>
                      <w:szCs w:val="16"/>
                      <w:lang w:bidi="ar"/>
                    </w:rPr>
                    <w:t>RDIMM,32GB,288pin,0.625ns,3200000KHz,1.2,ECC,2Rank</w:t>
                  </w:r>
                  <w:proofErr w:type="spellEnd"/>
                  <w:r>
                    <w:rPr>
                      <w:rFonts w:ascii="微软雅黑" w:eastAsia="微软雅黑" w:hAnsi="微软雅黑" w:cs="微软雅黑" w:hint="eastAsia"/>
                      <w:color w:val="000000"/>
                      <w:kern w:val="0"/>
                      <w:sz w:val="16"/>
                      <w:szCs w:val="16"/>
                      <w:lang w:bidi="ar"/>
                    </w:rPr>
                    <w:t>(</w:t>
                  </w:r>
                  <w:proofErr w:type="spellStart"/>
                  <w:r>
                    <w:rPr>
                      <w:rFonts w:ascii="微软雅黑" w:eastAsia="微软雅黑" w:hAnsi="微软雅黑" w:cs="微软雅黑" w:hint="eastAsia"/>
                      <w:color w:val="000000"/>
                      <w:kern w:val="0"/>
                      <w:sz w:val="16"/>
                      <w:szCs w:val="16"/>
                      <w:lang w:bidi="ar"/>
                    </w:rPr>
                    <w:t>2G</w:t>
                  </w:r>
                  <w:proofErr w:type="spellEnd"/>
                  <w:r>
                    <w:rPr>
                      <w:rFonts w:ascii="微软雅黑" w:eastAsia="微软雅黑" w:hAnsi="微软雅黑" w:cs="微软雅黑" w:hint="eastAsia"/>
                      <w:color w:val="000000"/>
                      <w:kern w:val="0"/>
                      <w:sz w:val="16"/>
                      <w:szCs w:val="16"/>
                      <w:lang w:bidi="ar"/>
                    </w:rPr>
                    <w:t>*</w:t>
                  </w:r>
                  <w:proofErr w:type="spellStart"/>
                  <w:r>
                    <w:rPr>
                      <w:rFonts w:ascii="微软雅黑" w:eastAsia="微软雅黑" w:hAnsi="微软雅黑" w:cs="微软雅黑" w:hint="eastAsia"/>
                      <w:color w:val="000000"/>
                      <w:kern w:val="0"/>
                      <w:sz w:val="16"/>
                      <w:szCs w:val="16"/>
                      <w:lang w:bidi="ar"/>
                    </w:rPr>
                    <w:t>4bit</w:t>
                  </w:r>
                  <w:proofErr w:type="spellEnd"/>
                  <w:r>
                    <w:rPr>
                      <w:rFonts w:ascii="微软雅黑" w:eastAsia="微软雅黑" w:hAnsi="微软雅黑" w:cs="微软雅黑" w:hint="eastAsia"/>
                      <w:color w:val="000000"/>
                      <w:kern w:val="0"/>
                      <w:sz w:val="16"/>
                      <w:szCs w:val="16"/>
                      <w:lang w:bidi="ar"/>
                    </w:rPr>
                    <w:t>)</w:t>
                  </w:r>
                </w:p>
              </w:tc>
              <w:tc>
                <w:tcPr>
                  <w:tcW w:w="841" w:type="dxa"/>
                  <w:tcBorders>
                    <w:top w:val="single" w:sz="4" w:space="0" w:color="000000"/>
                    <w:left w:val="single" w:sz="4" w:space="0" w:color="000000"/>
                    <w:bottom w:val="single" w:sz="4" w:space="0" w:color="000000"/>
                    <w:right w:val="single" w:sz="4" w:space="0" w:color="000000"/>
                  </w:tcBorders>
                  <w:vAlign w:val="center"/>
                </w:tcPr>
                <w:p w14:paraId="55D7A0E1"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16</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339E6BA2" w14:textId="77777777" w:rsidR="00530312" w:rsidRDefault="00530312">
                  <w:pPr>
                    <w:jc w:val="center"/>
                    <w:rPr>
                      <w:rFonts w:ascii="宋体" w:hAnsi="宋体" w:cs="宋体"/>
                      <w:color w:val="000000"/>
                      <w:sz w:val="24"/>
                    </w:rPr>
                  </w:pPr>
                </w:p>
              </w:tc>
            </w:tr>
            <w:tr w:rsidR="00530312" w14:paraId="785BD300"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0CBF8F6C"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1CA093C" w14:textId="77777777" w:rsidR="00530312" w:rsidRDefault="005170F5">
                  <w:pPr>
                    <w:widowControl/>
                    <w:jc w:val="left"/>
                    <w:textAlignment w:val="center"/>
                    <w:rPr>
                      <w:rFonts w:ascii="微软雅黑" w:eastAsia="微软雅黑" w:hAnsi="微软雅黑" w:cs="微软雅黑"/>
                      <w:color w:val="000000"/>
                      <w:sz w:val="18"/>
                      <w:szCs w:val="18"/>
                    </w:rPr>
                  </w:pPr>
                  <w:proofErr w:type="spellStart"/>
                  <w:r>
                    <w:rPr>
                      <w:rFonts w:ascii="微软雅黑" w:eastAsia="微软雅黑" w:hAnsi="微软雅黑" w:cs="微软雅黑" w:hint="eastAsia"/>
                      <w:color w:val="000000"/>
                      <w:kern w:val="0"/>
                      <w:sz w:val="18"/>
                      <w:szCs w:val="18"/>
                      <w:lang w:bidi="ar"/>
                    </w:rPr>
                    <w:t>SSD</w:t>
                  </w:r>
                  <w:proofErr w:type="spellEnd"/>
                  <w:r>
                    <w:rPr>
                      <w:rFonts w:ascii="微软雅黑" w:eastAsia="微软雅黑" w:hAnsi="微软雅黑" w:cs="微软雅黑" w:hint="eastAsia"/>
                      <w:color w:val="000000"/>
                      <w:kern w:val="0"/>
                      <w:sz w:val="18"/>
                      <w:szCs w:val="18"/>
                      <w:lang w:bidi="ar"/>
                    </w:rPr>
                    <w:t xml:space="preserve"> 硬盘</w:t>
                  </w:r>
                </w:p>
              </w:tc>
              <w:tc>
                <w:tcPr>
                  <w:tcW w:w="3457" w:type="dxa"/>
                  <w:tcBorders>
                    <w:top w:val="single" w:sz="4" w:space="0" w:color="000000"/>
                    <w:left w:val="single" w:sz="4" w:space="0" w:color="000000"/>
                    <w:bottom w:val="single" w:sz="4" w:space="0" w:color="000000"/>
                    <w:right w:val="single" w:sz="4" w:space="0" w:color="000000"/>
                  </w:tcBorders>
                  <w:vAlign w:val="center"/>
                </w:tcPr>
                <w:p w14:paraId="4F01408B"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固态硬盘-</w:t>
                  </w:r>
                  <w:proofErr w:type="spellStart"/>
                  <w:r>
                    <w:rPr>
                      <w:rFonts w:ascii="微软雅黑" w:eastAsia="微软雅黑" w:hAnsi="微软雅黑" w:cs="微软雅黑" w:hint="eastAsia"/>
                      <w:color w:val="000000"/>
                      <w:kern w:val="0"/>
                      <w:sz w:val="16"/>
                      <w:szCs w:val="16"/>
                      <w:lang w:bidi="ar"/>
                    </w:rPr>
                    <w:t>480GB-SATA</w:t>
                  </w:r>
                  <w:proofErr w:type="spellEnd"/>
                  <w:r>
                    <w:rPr>
                      <w:rFonts w:ascii="微软雅黑" w:eastAsia="微软雅黑" w:hAnsi="微软雅黑" w:cs="微软雅黑" w:hint="eastAsia"/>
                      <w:color w:val="000000"/>
                      <w:kern w:val="0"/>
                      <w:sz w:val="16"/>
                      <w:szCs w:val="16"/>
                      <w:lang w:bidi="ar"/>
                    </w:rPr>
                    <w:t xml:space="preserve"> </w:t>
                  </w:r>
                  <w:proofErr w:type="spellStart"/>
                  <w:r>
                    <w:rPr>
                      <w:rFonts w:ascii="微软雅黑" w:eastAsia="微软雅黑" w:hAnsi="微软雅黑" w:cs="微软雅黑" w:hint="eastAsia"/>
                      <w:color w:val="000000"/>
                      <w:kern w:val="0"/>
                      <w:sz w:val="16"/>
                      <w:szCs w:val="16"/>
                      <w:lang w:bidi="ar"/>
                    </w:rPr>
                    <w:t>6Gb</w:t>
                  </w:r>
                  <w:proofErr w:type="spellEnd"/>
                  <w:r>
                    <w:rPr>
                      <w:rFonts w:ascii="微软雅黑" w:eastAsia="微软雅黑" w:hAnsi="微软雅黑" w:cs="微软雅黑" w:hint="eastAsia"/>
                      <w:color w:val="000000"/>
                      <w:kern w:val="0"/>
                      <w:sz w:val="16"/>
                      <w:szCs w:val="16"/>
                      <w:lang w:bidi="ar"/>
                    </w:rPr>
                    <w:t>/s-读密集型-2.5英寸(3.5英寸托架)</w:t>
                  </w:r>
                </w:p>
              </w:tc>
              <w:tc>
                <w:tcPr>
                  <w:tcW w:w="841" w:type="dxa"/>
                  <w:tcBorders>
                    <w:top w:val="single" w:sz="4" w:space="0" w:color="000000"/>
                    <w:left w:val="single" w:sz="4" w:space="0" w:color="000000"/>
                    <w:bottom w:val="single" w:sz="4" w:space="0" w:color="000000"/>
                    <w:right w:val="single" w:sz="4" w:space="0" w:color="000000"/>
                  </w:tcBorders>
                  <w:vAlign w:val="center"/>
                </w:tcPr>
                <w:p w14:paraId="1FD3A9B8"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69A6270D" w14:textId="77777777" w:rsidR="00530312" w:rsidRDefault="00530312">
                  <w:pPr>
                    <w:jc w:val="center"/>
                    <w:rPr>
                      <w:rFonts w:ascii="宋体" w:hAnsi="宋体" w:cs="宋体"/>
                      <w:color w:val="000000"/>
                      <w:sz w:val="24"/>
                    </w:rPr>
                  </w:pPr>
                </w:p>
              </w:tc>
            </w:tr>
            <w:tr w:rsidR="00530312" w14:paraId="4E8671CC"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438CFCA"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2CF2F78" w14:textId="77777777" w:rsidR="00530312" w:rsidRDefault="005170F5">
                  <w:pPr>
                    <w:widowControl/>
                    <w:jc w:val="left"/>
                    <w:textAlignment w:val="center"/>
                    <w:rPr>
                      <w:rFonts w:ascii="微软雅黑" w:eastAsia="微软雅黑" w:hAnsi="微软雅黑" w:cs="微软雅黑"/>
                      <w:color w:val="000000"/>
                      <w:sz w:val="18"/>
                      <w:szCs w:val="18"/>
                    </w:rPr>
                  </w:pPr>
                  <w:proofErr w:type="spellStart"/>
                  <w:r>
                    <w:rPr>
                      <w:rFonts w:ascii="微软雅黑" w:eastAsia="微软雅黑" w:hAnsi="微软雅黑" w:cs="微软雅黑" w:hint="eastAsia"/>
                      <w:color w:val="000000"/>
                      <w:kern w:val="0"/>
                      <w:sz w:val="18"/>
                      <w:szCs w:val="18"/>
                      <w:lang w:bidi="ar"/>
                    </w:rPr>
                    <w:t>SSD</w:t>
                  </w:r>
                  <w:proofErr w:type="spellEnd"/>
                  <w:r>
                    <w:rPr>
                      <w:rFonts w:ascii="微软雅黑" w:eastAsia="微软雅黑" w:hAnsi="微软雅黑" w:cs="微软雅黑" w:hint="eastAsia"/>
                      <w:color w:val="000000"/>
                      <w:kern w:val="0"/>
                      <w:sz w:val="18"/>
                      <w:szCs w:val="18"/>
                      <w:lang w:bidi="ar"/>
                    </w:rPr>
                    <w:t xml:space="preserve"> 硬</w:t>
                  </w:r>
                  <w:r>
                    <w:rPr>
                      <w:rFonts w:ascii="微软雅黑" w:eastAsia="微软雅黑" w:hAnsi="微软雅黑" w:cs="微软雅黑" w:hint="eastAsia"/>
                      <w:color w:val="000000"/>
                      <w:kern w:val="0"/>
                      <w:sz w:val="18"/>
                      <w:szCs w:val="18"/>
                      <w:lang w:bidi="ar"/>
                    </w:rPr>
                    <w:lastRenderedPageBreak/>
                    <w:t>盘</w:t>
                  </w:r>
                </w:p>
              </w:tc>
              <w:tc>
                <w:tcPr>
                  <w:tcW w:w="3457" w:type="dxa"/>
                  <w:tcBorders>
                    <w:top w:val="single" w:sz="4" w:space="0" w:color="000000"/>
                    <w:left w:val="single" w:sz="4" w:space="0" w:color="000000"/>
                    <w:bottom w:val="single" w:sz="4" w:space="0" w:color="000000"/>
                    <w:right w:val="single" w:sz="4" w:space="0" w:color="000000"/>
                  </w:tcBorders>
                  <w:vAlign w:val="center"/>
                </w:tcPr>
                <w:p w14:paraId="5FAED9E3"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lastRenderedPageBreak/>
                    <w:t>固态硬盘-</w:t>
                  </w:r>
                  <w:proofErr w:type="spellStart"/>
                  <w:r>
                    <w:rPr>
                      <w:rFonts w:ascii="微软雅黑" w:eastAsia="微软雅黑" w:hAnsi="微软雅黑" w:cs="微软雅黑" w:hint="eastAsia"/>
                      <w:color w:val="000000"/>
                      <w:kern w:val="0"/>
                      <w:sz w:val="16"/>
                      <w:szCs w:val="16"/>
                      <w:lang w:bidi="ar"/>
                    </w:rPr>
                    <w:t>3200GB-NVMe</w:t>
                  </w:r>
                  <w:proofErr w:type="spellEnd"/>
                  <w:r>
                    <w:rPr>
                      <w:rFonts w:ascii="微软雅黑" w:eastAsia="微软雅黑" w:hAnsi="微软雅黑" w:cs="微软雅黑" w:hint="eastAsia"/>
                      <w:color w:val="000000"/>
                      <w:kern w:val="0"/>
                      <w:sz w:val="16"/>
                      <w:szCs w:val="16"/>
                      <w:lang w:bidi="ar"/>
                    </w:rPr>
                    <w:t xml:space="preserve"> </w:t>
                  </w:r>
                  <w:proofErr w:type="spellStart"/>
                  <w:r>
                    <w:rPr>
                      <w:rFonts w:ascii="微软雅黑" w:eastAsia="微软雅黑" w:hAnsi="微软雅黑" w:cs="微软雅黑" w:hint="eastAsia"/>
                      <w:color w:val="000000"/>
                      <w:kern w:val="0"/>
                      <w:sz w:val="16"/>
                      <w:szCs w:val="16"/>
                      <w:lang w:bidi="ar"/>
                    </w:rPr>
                    <w:t>PCIe</w:t>
                  </w:r>
                  <w:proofErr w:type="spellEnd"/>
                  <w:r>
                    <w:rPr>
                      <w:rFonts w:ascii="微软雅黑" w:eastAsia="微软雅黑" w:hAnsi="微软雅黑" w:cs="微软雅黑" w:hint="eastAsia"/>
                      <w:color w:val="000000"/>
                      <w:kern w:val="0"/>
                      <w:sz w:val="16"/>
                      <w:szCs w:val="16"/>
                      <w:lang w:bidi="ar"/>
                    </w:rPr>
                    <w:t>-读写混合型</w:t>
                  </w:r>
                  <w:r>
                    <w:rPr>
                      <w:rFonts w:ascii="微软雅黑" w:eastAsia="微软雅黑" w:hAnsi="微软雅黑" w:cs="微软雅黑" w:hint="eastAsia"/>
                      <w:color w:val="000000"/>
                      <w:kern w:val="0"/>
                      <w:sz w:val="16"/>
                      <w:szCs w:val="16"/>
                      <w:lang w:bidi="ar"/>
                    </w:rPr>
                    <w:lastRenderedPageBreak/>
                    <w:t>-2.5英寸</w:t>
                  </w:r>
                </w:p>
              </w:tc>
              <w:tc>
                <w:tcPr>
                  <w:tcW w:w="841" w:type="dxa"/>
                  <w:tcBorders>
                    <w:top w:val="single" w:sz="4" w:space="0" w:color="000000"/>
                    <w:left w:val="single" w:sz="4" w:space="0" w:color="000000"/>
                    <w:bottom w:val="single" w:sz="4" w:space="0" w:color="000000"/>
                    <w:right w:val="single" w:sz="4" w:space="0" w:color="000000"/>
                  </w:tcBorders>
                  <w:vAlign w:val="center"/>
                </w:tcPr>
                <w:p w14:paraId="79F0F0C7"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lastRenderedPageBreak/>
                    <w:t>2</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26E4E7AF" w14:textId="77777777" w:rsidR="00530312" w:rsidRDefault="00530312">
                  <w:pPr>
                    <w:jc w:val="center"/>
                    <w:rPr>
                      <w:rFonts w:ascii="宋体" w:hAnsi="宋体" w:cs="宋体"/>
                      <w:color w:val="000000"/>
                      <w:sz w:val="24"/>
                    </w:rPr>
                  </w:pPr>
                </w:p>
              </w:tc>
            </w:tr>
            <w:tr w:rsidR="00530312" w14:paraId="37B71B65"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5640C8C8"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A00A2D7"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HDD硬盘</w:t>
                  </w:r>
                </w:p>
              </w:tc>
              <w:tc>
                <w:tcPr>
                  <w:tcW w:w="3457" w:type="dxa"/>
                  <w:tcBorders>
                    <w:top w:val="single" w:sz="4" w:space="0" w:color="000000"/>
                    <w:left w:val="single" w:sz="4" w:space="0" w:color="000000"/>
                    <w:bottom w:val="single" w:sz="4" w:space="0" w:color="000000"/>
                    <w:right w:val="single" w:sz="4" w:space="0" w:color="000000"/>
                  </w:tcBorders>
                  <w:vAlign w:val="center"/>
                </w:tcPr>
                <w:p w14:paraId="374EF3DD"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 xml:space="preserve">企业硬盘 </w:t>
                  </w:r>
                  <w:proofErr w:type="spellStart"/>
                  <w:r>
                    <w:rPr>
                      <w:rFonts w:ascii="微软雅黑" w:eastAsia="微软雅黑" w:hAnsi="微软雅黑" w:cs="微软雅黑" w:hint="eastAsia"/>
                      <w:color w:val="000000"/>
                      <w:kern w:val="0"/>
                      <w:sz w:val="16"/>
                      <w:szCs w:val="16"/>
                      <w:lang w:bidi="ar"/>
                    </w:rPr>
                    <w:t>10T</w:t>
                  </w:r>
                  <w:proofErr w:type="spellEnd"/>
                </w:p>
              </w:tc>
              <w:tc>
                <w:tcPr>
                  <w:tcW w:w="841" w:type="dxa"/>
                  <w:tcBorders>
                    <w:top w:val="single" w:sz="4" w:space="0" w:color="000000"/>
                    <w:left w:val="single" w:sz="4" w:space="0" w:color="000000"/>
                    <w:bottom w:val="single" w:sz="4" w:space="0" w:color="000000"/>
                    <w:right w:val="single" w:sz="4" w:space="0" w:color="000000"/>
                  </w:tcBorders>
                  <w:vAlign w:val="center"/>
                </w:tcPr>
                <w:p w14:paraId="3CBC854A"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6</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6E643771" w14:textId="77777777" w:rsidR="00530312" w:rsidRDefault="00530312">
                  <w:pPr>
                    <w:jc w:val="center"/>
                    <w:rPr>
                      <w:rFonts w:ascii="宋体" w:hAnsi="宋体" w:cs="宋体"/>
                      <w:color w:val="000000"/>
                      <w:sz w:val="24"/>
                    </w:rPr>
                  </w:pPr>
                </w:p>
              </w:tc>
            </w:tr>
            <w:tr w:rsidR="00530312" w14:paraId="4ABE68FF"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2CFCB371"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0EB45326"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阵列卡</w:t>
                  </w:r>
                </w:p>
              </w:tc>
              <w:tc>
                <w:tcPr>
                  <w:tcW w:w="3457" w:type="dxa"/>
                  <w:tcBorders>
                    <w:top w:val="single" w:sz="4" w:space="0" w:color="000000"/>
                    <w:left w:val="single" w:sz="4" w:space="0" w:color="000000"/>
                    <w:bottom w:val="single" w:sz="4" w:space="0" w:color="000000"/>
                    <w:right w:val="single" w:sz="4" w:space="0" w:color="000000"/>
                  </w:tcBorders>
                  <w:vAlign w:val="center"/>
                </w:tcPr>
                <w:p w14:paraId="28179E8F"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RAID阵列卡</w:t>
                  </w:r>
                  <w:proofErr w:type="spellStart"/>
                  <w:r>
                    <w:rPr>
                      <w:rFonts w:ascii="微软雅黑" w:eastAsia="微软雅黑" w:hAnsi="微软雅黑" w:cs="微软雅黑" w:hint="eastAsia"/>
                      <w:color w:val="000000"/>
                      <w:kern w:val="0"/>
                      <w:sz w:val="16"/>
                      <w:szCs w:val="16"/>
                      <w:lang w:bidi="ar"/>
                    </w:rPr>
                    <w:t>4G</w:t>
                  </w:r>
                  <w:proofErr w:type="spellEnd"/>
                  <w:r>
                    <w:rPr>
                      <w:rFonts w:ascii="微软雅黑" w:eastAsia="微软雅黑" w:hAnsi="微软雅黑" w:cs="微软雅黑" w:hint="eastAsia"/>
                      <w:color w:val="000000"/>
                      <w:kern w:val="0"/>
                      <w:sz w:val="16"/>
                      <w:szCs w:val="16"/>
                      <w:lang w:bidi="ar"/>
                    </w:rPr>
                    <w:t>，支持</w:t>
                  </w:r>
                  <w:proofErr w:type="spellStart"/>
                  <w:r>
                    <w:rPr>
                      <w:rFonts w:ascii="微软雅黑" w:eastAsia="微软雅黑" w:hAnsi="微软雅黑" w:cs="微软雅黑" w:hint="eastAsia"/>
                      <w:color w:val="000000"/>
                      <w:kern w:val="0"/>
                      <w:sz w:val="16"/>
                      <w:szCs w:val="16"/>
                      <w:lang w:bidi="ar"/>
                    </w:rPr>
                    <w:t>raid5</w:t>
                  </w:r>
                  <w:proofErr w:type="spellEnd"/>
                  <w:r>
                    <w:rPr>
                      <w:rFonts w:ascii="微软雅黑" w:eastAsia="微软雅黑" w:hAnsi="微软雅黑" w:cs="微软雅黑" w:hint="eastAsia"/>
                      <w:color w:val="000000"/>
                      <w:kern w:val="0"/>
                      <w:sz w:val="16"/>
                      <w:szCs w:val="16"/>
                      <w:lang w:bidi="ar"/>
                    </w:rPr>
                    <w:t xml:space="preserve"> 6，</w:t>
                  </w:r>
                  <w:proofErr w:type="spellStart"/>
                  <w:r>
                    <w:rPr>
                      <w:rFonts w:ascii="微软雅黑" w:eastAsia="微软雅黑" w:hAnsi="微软雅黑" w:cs="微软雅黑" w:hint="eastAsia"/>
                      <w:color w:val="000000"/>
                      <w:kern w:val="0"/>
                      <w:sz w:val="16"/>
                      <w:szCs w:val="16"/>
                      <w:lang w:bidi="ar"/>
                    </w:rPr>
                    <w:t>sas12G</w:t>
                  </w:r>
                  <w:proofErr w:type="spellEnd"/>
                  <w:r>
                    <w:rPr>
                      <w:rFonts w:ascii="微软雅黑" w:eastAsia="微软雅黑" w:hAnsi="微软雅黑" w:cs="微软雅黑" w:hint="eastAsia"/>
                      <w:color w:val="000000"/>
                      <w:kern w:val="0"/>
                      <w:sz w:val="16"/>
                      <w:szCs w:val="16"/>
                      <w:lang w:bidi="ar"/>
                    </w:rPr>
                    <w:t>，带电池</w:t>
                  </w:r>
                </w:p>
              </w:tc>
              <w:tc>
                <w:tcPr>
                  <w:tcW w:w="841" w:type="dxa"/>
                  <w:tcBorders>
                    <w:top w:val="single" w:sz="4" w:space="0" w:color="000000"/>
                    <w:left w:val="single" w:sz="4" w:space="0" w:color="000000"/>
                    <w:bottom w:val="single" w:sz="4" w:space="0" w:color="000000"/>
                    <w:right w:val="single" w:sz="4" w:space="0" w:color="000000"/>
                  </w:tcBorders>
                  <w:vAlign w:val="center"/>
                </w:tcPr>
                <w:p w14:paraId="730863E1"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43403237" w14:textId="77777777" w:rsidR="00530312" w:rsidRDefault="00530312">
                  <w:pPr>
                    <w:jc w:val="center"/>
                    <w:rPr>
                      <w:rFonts w:ascii="宋体" w:hAnsi="宋体" w:cs="宋体"/>
                      <w:color w:val="000000"/>
                      <w:sz w:val="24"/>
                    </w:rPr>
                  </w:pPr>
                </w:p>
              </w:tc>
            </w:tr>
            <w:tr w:rsidR="00530312" w14:paraId="0C360943"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6054FFF"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6017652"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IO模组1</w:t>
                  </w:r>
                </w:p>
              </w:tc>
              <w:tc>
                <w:tcPr>
                  <w:tcW w:w="3457" w:type="dxa"/>
                  <w:tcBorders>
                    <w:top w:val="single" w:sz="4" w:space="0" w:color="000000"/>
                    <w:left w:val="single" w:sz="4" w:space="0" w:color="000000"/>
                    <w:bottom w:val="single" w:sz="4" w:space="0" w:color="000000"/>
                    <w:right w:val="single" w:sz="4" w:space="0" w:color="000000"/>
                  </w:tcBorders>
                  <w:vAlign w:val="center"/>
                </w:tcPr>
                <w:p w14:paraId="17395644"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IO模组</w:t>
                  </w:r>
                </w:p>
              </w:tc>
              <w:tc>
                <w:tcPr>
                  <w:tcW w:w="841" w:type="dxa"/>
                  <w:tcBorders>
                    <w:top w:val="single" w:sz="4" w:space="0" w:color="000000"/>
                    <w:left w:val="single" w:sz="4" w:space="0" w:color="000000"/>
                    <w:bottom w:val="single" w:sz="4" w:space="0" w:color="000000"/>
                    <w:right w:val="single" w:sz="4" w:space="0" w:color="000000"/>
                  </w:tcBorders>
                  <w:vAlign w:val="center"/>
                </w:tcPr>
                <w:p w14:paraId="1FDC132E"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51BF566E" w14:textId="77777777" w:rsidR="00530312" w:rsidRDefault="00530312">
                  <w:pPr>
                    <w:jc w:val="center"/>
                    <w:rPr>
                      <w:rFonts w:ascii="宋体" w:hAnsi="宋体" w:cs="宋体"/>
                      <w:color w:val="000000"/>
                      <w:sz w:val="24"/>
                    </w:rPr>
                  </w:pPr>
                </w:p>
              </w:tc>
            </w:tr>
            <w:tr w:rsidR="00530312" w14:paraId="5BE213FE"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A673894"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F951A4E"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网卡/</w:t>
                  </w:r>
                  <w:proofErr w:type="spellStart"/>
                  <w:r>
                    <w:rPr>
                      <w:rFonts w:ascii="微软雅黑" w:eastAsia="微软雅黑" w:hAnsi="微软雅黑" w:cs="微软雅黑" w:hint="eastAsia"/>
                      <w:color w:val="000000"/>
                      <w:kern w:val="0"/>
                      <w:sz w:val="18"/>
                      <w:szCs w:val="18"/>
                      <w:lang w:bidi="ar"/>
                    </w:rPr>
                    <w:t>HBA</w:t>
                  </w:r>
                  <w:proofErr w:type="spellEnd"/>
                </w:p>
              </w:tc>
              <w:tc>
                <w:tcPr>
                  <w:tcW w:w="3457" w:type="dxa"/>
                  <w:tcBorders>
                    <w:top w:val="single" w:sz="4" w:space="0" w:color="000000"/>
                    <w:left w:val="single" w:sz="4" w:space="0" w:color="000000"/>
                    <w:bottom w:val="single" w:sz="4" w:space="0" w:color="000000"/>
                    <w:right w:val="single" w:sz="4" w:space="0" w:color="000000"/>
                  </w:tcBorders>
                  <w:vAlign w:val="center"/>
                </w:tcPr>
                <w:p w14:paraId="508656AD"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1Gb</w:t>
                  </w:r>
                  <w:proofErr w:type="spellEnd"/>
                  <w:r>
                    <w:rPr>
                      <w:rFonts w:ascii="微软雅黑" w:eastAsia="微软雅黑" w:hAnsi="微软雅黑" w:cs="微软雅黑" w:hint="eastAsia"/>
                      <w:color w:val="000000"/>
                      <w:kern w:val="0"/>
                      <w:sz w:val="16"/>
                      <w:szCs w:val="16"/>
                      <w:lang w:bidi="ar"/>
                    </w:rPr>
                    <w:t xml:space="preserve"> </w:t>
                  </w:r>
                  <w:proofErr w:type="spellStart"/>
                  <w:r>
                    <w:rPr>
                      <w:rFonts w:ascii="微软雅黑" w:eastAsia="微软雅黑" w:hAnsi="微软雅黑" w:cs="微软雅黑" w:hint="eastAsia"/>
                      <w:color w:val="000000"/>
                      <w:kern w:val="0"/>
                      <w:sz w:val="16"/>
                      <w:szCs w:val="16"/>
                      <w:lang w:bidi="ar"/>
                    </w:rPr>
                    <w:t>RJ45-PCle</w:t>
                  </w:r>
                  <w:proofErr w:type="spellEnd"/>
                  <w:r>
                    <w:rPr>
                      <w:rFonts w:ascii="微软雅黑" w:eastAsia="微软雅黑" w:hAnsi="微软雅黑" w:cs="微软雅黑" w:hint="eastAsia"/>
                      <w:color w:val="000000"/>
                      <w:kern w:val="0"/>
                      <w:sz w:val="16"/>
                      <w:szCs w:val="16"/>
                      <w:lang w:bidi="ar"/>
                    </w:rPr>
                    <w:t xml:space="preserve"> 2.0 </w:t>
                  </w:r>
                  <w:proofErr w:type="spellStart"/>
                  <w:r>
                    <w:rPr>
                      <w:rFonts w:ascii="微软雅黑" w:eastAsia="微软雅黑" w:hAnsi="微软雅黑" w:cs="微软雅黑" w:hint="eastAsia"/>
                      <w:color w:val="000000"/>
                      <w:kern w:val="0"/>
                      <w:sz w:val="16"/>
                      <w:szCs w:val="16"/>
                      <w:lang w:bidi="ar"/>
                    </w:rPr>
                    <w:t>x4</w:t>
                  </w:r>
                  <w:proofErr w:type="spellEnd"/>
                </w:p>
              </w:tc>
              <w:tc>
                <w:tcPr>
                  <w:tcW w:w="841" w:type="dxa"/>
                  <w:tcBorders>
                    <w:top w:val="single" w:sz="4" w:space="0" w:color="000000"/>
                    <w:left w:val="single" w:sz="4" w:space="0" w:color="000000"/>
                    <w:bottom w:val="single" w:sz="4" w:space="0" w:color="000000"/>
                    <w:right w:val="single" w:sz="4" w:space="0" w:color="000000"/>
                  </w:tcBorders>
                  <w:vAlign w:val="center"/>
                </w:tcPr>
                <w:p w14:paraId="196707F7"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1F3F6CEA" w14:textId="77777777" w:rsidR="00530312" w:rsidRDefault="00530312">
                  <w:pPr>
                    <w:jc w:val="center"/>
                    <w:rPr>
                      <w:rFonts w:ascii="宋体" w:hAnsi="宋体" w:cs="宋体"/>
                      <w:color w:val="000000"/>
                      <w:sz w:val="24"/>
                    </w:rPr>
                  </w:pPr>
                </w:p>
              </w:tc>
            </w:tr>
            <w:tr w:rsidR="00530312" w14:paraId="309D4959" w14:textId="77777777">
              <w:trPr>
                <w:trHeight w:val="540"/>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65AC1517"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315B7CDF"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网卡/</w:t>
                  </w:r>
                  <w:proofErr w:type="spellStart"/>
                  <w:r>
                    <w:rPr>
                      <w:rFonts w:ascii="微软雅黑" w:eastAsia="微软雅黑" w:hAnsi="微软雅黑" w:cs="微软雅黑" w:hint="eastAsia"/>
                      <w:color w:val="000000"/>
                      <w:kern w:val="0"/>
                      <w:sz w:val="18"/>
                      <w:szCs w:val="18"/>
                      <w:lang w:bidi="ar"/>
                    </w:rPr>
                    <w:t>HBA</w:t>
                  </w:r>
                  <w:proofErr w:type="spellEnd"/>
                </w:p>
              </w:tc>
              <w:tc>
                <w:tcPr>
                  <w:tcW w:w="3457" w:type="dxa"/>
                  <w:tcBorders>
                    <w:top w:val="single" w:sz="4" w:space="0" w:color="000000"/>
                    <w:left w:val="single" w:sz="4" w:space="0" w:color="000000"/>
                    <w:bottom w:val="single" w:sz="4" w:space="0" w:color="000000"/>
                    <w:right w:val="single" w:sz="4" w:space="0" w:color="000000"/>
                  </w:tcBorders>
                  <w:vAlign w:val="center"/>
                </w:tcPr>
                <w:p w14:paraId="247434A8"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10G</w:t>
                  </w:r>
                  <w:proofErr w:type="spellEnd"/>
                  <w:proofErr w:type="gramStart"/>
                  <w:r>
                    <w:rPr>
                      <w:rFonts w:ascii="微软雅黑" w:eastAsia="微软雅黑" w:hAnsi="微软雅黑" w:cs="微软雅黑" w:hint="eastAsia"/>
                      <w:color w:val="000000"/>
                      <w:kern w:val="0"/>
                      <w:sz w:val="16"/>
                      <w:szCs w:val="16"/>
                      <w:lang w:bidi="ar"/>
                    </w:rPr>
                    <w:t>光口双</w:t>
                  </w:r>
                  <w:proofErr w:type="gramEnd"/>
                  <w:r>
                    <w:rPr>
                      <w:rFonts w:ascii="微软雅黑" w:eastAsia="微软雅黑" w:hAnsi="微软雅黑" w:cs="微软雅黑" w:hint="eastAsia"/>
                      <w:color w:val="000000"/>
                      <w:kern w:val="0"/>
                      <w:sz w:val="16"/>
                      <w:szCs w:val="16"/>
                      <w:lang w:bidi="ar"/>
                    </w:rPr>
                    <w:t>端口-</w:t>
                  </w:r>
                  <w:proofErr w:type="spellStart"/>
                  <w:r>
                    <w:rPr>
                      <w:rFonts w:ascii="微软雅黑" w:eastAsia="微软雅黑" w:hAnsi="微软雅黑" w:cs="微软雅黑" w:hint="eastAsia"/>
                      <w:color w:val="000000"/>
                      <w:kern w:val="0"/>
                      <w:sz w:val="16"/>
                      <w:szCs w:val="16"/>
                      <w:lang w:bidi="ar"/>
                    </w:rPr>
                    <w:t>SFP</w:t>
                  </w:r>
                  <w:proofErr w:type="spellEnd"/>
                  <w:r>
                    <w:rPr>
                      <w:rFonts w:ascii="微软雅黑" w:eastAsia="微软雅黑" w:hAnsi="微软雅黑" w:cs="微软雅黑" w:hint="eastAsia"/>
                      <w:color w:val="000000"/>
                      <w:kern w:val="0"/>
                      <w:sz w:val="16"/>
                      <w:szCs w:val="16"/>
                      <w:lang w:bidi="ar"/>
                    </w:rPr>
                    <w:t>+</w:t>
                  </w:r>
                </w:p>
              </w:tc>
              <w:tc>
                <w:tcPr>
                  <w:tcW w:w="841" w:type="dxa"/>
                  <w:tcBorders>
                    <w:top w:val="single" w:sz="4" w:space="0" w:color="000000"/>
                    <w:left w:val="single" w:sz="4" w:space="0" w:color="000000"/>
                    <w:bottom w:val="single" w:sz="4" w:space="0" w:color="000000"/>
                    <w:right w:val="single" w:sz="4" w:space="0" w:color="000000"/>
                  </w:tcBorders>
                  <w:vAlign w:val="center"/>
                </w:tcPr>
                <w:p w14:paraId="5171DB14"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51866249" w14:textId="77777777" w:rsidR="00530312" w:rsidRDefault="00530312">
                  <w:pPr>
                    <w:jc w:val="center"/>
                    <w:rPr>
                      <w:rFonts w:ascii="宋体" w:hAnsi="宋体" w:cs="宋体"/>
                      <w:color w:val="000000"/>
                      <w:sz w:val="24"/>
                    </w:rPr>
                  </w:pPr>
                </w:p>
              </w:tc>
            </w:tr>
            <w:tr w:rsidR="00530312" w14:paraId="32559F20" w14:textId="77777777">
              <w:trPr>
                <w:trHeight w:val="540"/>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1CBC137"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76DA272D"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网卡/</w:t>
                  </w:r>
                  <w:proofErr w:type="spellStart"/>
                  <w:r>
                    <w:rPr>
                      <w:rFonts w:ascii="微软雅黑" w:eastAsia="微软雅黑" w:hAnsi="微软雅黑" w:cs="微软雅黑" w:hint="eastAsia"/>
                      <w:color w:val="000000"/>
                      <w:kern w:val="0"/>
                      <w:sz w:val="18"/>
                      <w:szCs w:val="18"/>
                      <w:lang w:bidi="ar"/>
                    </w:rPr>
                    <w:t>HBA</w:t>
                  </w:r>
                  <w:proofErr w:type="spellEnd"/>
                </w:p>
              </w:tc>
              <w:tc>
                <w:tcPr>
                  <w:tcW w:w="3457" w:type="dxa"/>
                  <w:tcBorders>
                    <w:top w:val="single" w:sz="4" w:space="0" w:color="000000"/>
                    <w:left w:val="single" w:sz="4" w:space="0" w:color="000000"/>
                    <w:bottom w:val="single" w:sz="4" w:space="0" w:color="000000"/>
                    <w:right w:val="single" w:sz="4" w:space="0" w:color="000000"/>
                  </w:tcBorders>
                  <w:vAlign w:val="center"/>
                </w:tcPr>
                <w:p w14:paraId="1B9E2AD4"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40G</w:t>
                  </w:r>
                  <w:proofErr w:type="spellEnd"/>
                  <w:proofErr w:type="gramStart"/>
                  <w:r>
                    <w:rPr>
                      <w:rFonts w:ascii="微软雅黑" w:eastAsia="微软雅黑" w:hAnsi="微软雅黑" w:cs="微软雅黑" w:hint="eastAsia"/>
                      <w:color w:val="000000"/>
                      <w:kern w:val="0"/>
                      <w:sz w:val="16"/>
                      <w:szCs w:val="16"/>
                      <w:lang w:bidi="ar"/>
                    </w:rPr>
                    <w:t>光口双</w:t>
                  </w:r>
                  <w:proofErr w:type="gramEnd"/>
                  <w:r>
                    <w:rPr>
                      <w:rFonts w:ascii="微软雅黑" w:eastAsia="微软雅黑" w:hAnsi="微软雅黑" w:cs="微软雅黑" w:hint="eastAsia"/>
                      <w:color w:val="000000"/>
                      <w:kern w:val="0"/>
                      <w:sz w:val="16"/>
                      <w:szCs w:val="16"/>
                      <w:lang w:bidi="ar"/>
                    </w:rPr>
                    <w:t>端口-</w:t>
                  </w:r>
                  <w:proofErr w:type="spellStart"/>
                  <w:r>
                    <w:rPr>
                      <w:rFonts w:ascii="微软雅黑" w:eastAsia="微软雅黑" w:hAnsi="微软雅黑" w:cs="微软雅黑" w:hint="eastAsia"/>
                      <w:color w:val="000000"/>
                      <w:kern w:val="0"/>
                      <w:sz w:val="16"/>
                      <w:szCs w:val="16"/>
                      <w:lang w:bidi="ar"/>
                    </w:rPr>
                    <w:t>QSFP</w:t>
                  </w:r>
                  <w:proofErr w:type="spellEnd"/>
                </w:p>
              </w:tc>
              <w:tc>
                <w:tcPr>
                  <w:tcW w:w="841" w:type="dxa"/>
                  <w:tcBorders>
                    <w:top w:val="single" w:sz="4" w:space="0" w:color="000000"/>
                    <w:left w:val="single" w:sz="4" w:space="0" w:color="000000"/>
                    <w:bottom w:val="single" w:sz="4" w:space="0" w:color="000000"/>
                    <w:right w:val="single" w:sz="4" w:space="0" w:color="000000"/>
                  </w:tcBorders>
                  <w:vAlign w:val="center"/>
                </w:tcPr>
                <w:p w14:paraId="43DD5479"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29F9964B" w14:textId="77777777" w:rsidR="00530312" w:rsidRDefault="00530312">
                  <w:pPr>
                    <w:jc w:val="center"/>
                    <w:rPr>
                      <w:rFonts w:ascii="宋体" w:hAnsi="宋体" w:cs="宋体"/>
                      <w:color w:val="000000"/>
                      <w:sz w:val="24"/>
                    </w:rPr>
                  </w:pPr>
                </w:p>
              </w:tc>
            </w:tr>
            <w:tr w:rsidR="00530312" w14:paraId="2770354A"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2C29CF9F"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DF2519A"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电   源</w:t>
                  </w:r>
                </w:p>
              </w:tc>
              <w:tc>
                <w:tcPr>
                  <w:tcW w:w="3457" w:type="dxa"/>
                  <w:tcBorders>
                    <w:top w:val="single" w:sz="4" w:space="0" w:color="000000"/>
                    <w:left w:val="single" w:sz="4" w:space="0" w:color="000000"/>
                    <w:bottom w:val="single" w:sz="4" w:space="0" w:color="000000"/>
                    <w:right w:val="single" w:sz="4" w:space="0" w:color="000000"/>
                  </w:tcBorders>
                  <w:vAlign w:val="center"/>
                </w:tcPr>
                <w:p w14:paraId="49EAAA29" w14:textId="77777777" w:rsidR="00530312" w:rsidRDefault="005170F5">
                  <w:pPr>
                    <w:widowControl/>
                    <w:jc w:val="left"/>
                    <w:textAlignment w:val="center"/>
                    <w:rPr>
                      <w:rFonts w:ascii="微软雅黑" w:eastAsia="微软雅黑" w:hAnsi="微软雅黑" w:cs="微软雅黑"/>
                      <w:color w:val="000000"/>
                      <w:sz w:val="16"/>
                      <w:szCs w:val="16"/>
                    </w:rPr>
                  </w:pPr>
                  <w:proofErr w:type="spellStart"/>
                  <w:r>
                    <w:rPr>
                      <w:rFonts w:ascii="微软雅黑" w:eastAsia="微软雅黑" w:hAnsi="微软雅黑" w:cs="微软雅黑" w:hint="eastAsia"/>
                      <w:color w:val="000000"/>
                      <w:kern w:val="0"/>
                      <w:sz w:val="16"/>
                      <w:szCs w:val="16"/>
                      <w:lang w:bidi="ar"/>
                    </w:rPr>
                    <w:t>900W</w:t>
                  </w:r>
                  <w:proofErr w:type="spellEnd"/>
                  <w:r>
                    <w:rPr>
                      <w:rFonts w:ascii="微软雅黑" w:eastAsia="微软雅黑" w:hAnsi="微软雅黑" w:cs="微软雅黑" w:hint="eastAsia"/>
                      <w:color w:val="000000"/>
                      <w:kern w:val="0"/>
                      <w:sz w:val="16"/>
                      <w:szCs w:val="16"/>
                      <w:lang w:bidi="ar"/>
                    </w:rPr>
                    <w:t xml:space="preserve"> 交流电源 (含中国</w:t>
                  </w:r>
                  <w:proofErr w:type="gramStart"/>
                  <w:r>
                    <w:rPr>
                      <w:rFonts w:ascii="微软雅黑" w:eastAsia="微软雅黑" w:hAnsi="微软雅黑" w:cs="微软雅黑" w:hint="eastAsia"/>
                      <w:color w:val="000000"/>
                      <w:kern w:val="0"/>
                      <w:sz w:val="16"/>
                      <w:szCs w:val="16"/>
                      <w:lang w:bidi="ar"/>
                    </w:rPr>
                    <w:t>制式墙插交流电源</w:t>
                  </w:r>
                  <w:proofErr w:type="gramEnd"/>
                  <w:r>
                    <w:rPr>
                      <w:rFonts w:ascii="微软雅黑" w:eastAsia="微软雅黑" w:hAnsi="微软雅黑" w:cs="微软雅黑" w:hint="eastAsia"/>
                      <w:color w:val="000000"/>
                      <w:kern w:val="0"/>
                      <w:sz w:val="16"/>
                      <w:szCs w:val="16"/>
                      <w:lang w:bidi="ar"/>
                    </w:rPr>
                    <w:t>线)</w:t>
                  </w:r>
                </w:p>
              </w:tc>
              <w:tc>
                <w:tcPr>
                  <w:tcW w:w="841" w:type="dxa"/>
                  <w:tcBorders>
                    <w:top w:val="single" w:sz="4" w:space="0" w:color="000000"/>
                    <w:left w:val="single" w:sz="4" w:space="0" w:color="000000"/>
                    <w:bottom w:val="single" w:sz="4" w:space="0" w:color="000000"/>
                    <w:right w:val="single" w:sz="4" w:space="0" w:color="000000"/>
                  </w:tcBorders>
                  <w:vAlign w:val="center"/>
                </w:tcPr>
                <w:p w14:paraId="7856FA81"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5B89BEB9" w14:textId="77777777" w:rsidR="00530312" w:rsidRDefault="00530312">
                  <w:pPr>
                    <w:jc w:val="center"/>
                    <w:rPr>
                      <w:rFonts w:ascii="宋体" w:hAnsi="宋体" w:cs="宋体"/>
                      <w:color w:val="000000"/>
                      <w:sz w:val="24"/>
                    </w:rPr>
                  </w:pPr>
                </w:p>
              </w:tc>
            </w:tr>
            <w:tr w:rsidR="00530312" w14:paraId="33024106"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B771995"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2D9BDA3"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模块</w:t>
                  </w:r>
                </w:p>
              </w:tc>
              <w:tc>
                <w:tcPr>
                  <w:tcW w:w="3457" w:type="dxa"/>
                  <w:tcBorders>
                    <w:top w:val="single" w:sz="4" w:space="0" w:color="000000"/>
                    <w:left w:val="single" w:sz="4" w:space="0" w:color="000000"/>
                    <w:bottom w:val="single" w:sz="4" w:space="0" w:color="000000"/>
                    <w:right w:val="single" w:sz="4" w:space="0" w:color="000000"/>
                  </w:tcBorders>
                  <w:vAlign w:val="center"/>
                </w:tcPr>
                <w:p w14:paraId="2F5DE2B7"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光模块-</w:t>
                  </w:r>
                  <w:proofErr w:type="spellStart"/>
                  <w:r>
                    <w:rPr>
                      <w:rFonts w:ascii="微软雅黑" w:eastAsia="微软雅黑" w:hAnsi="微软雅黑" w:cs="微软雅黑" w:hint="eastAsia"/>
                      <w:color w:val="000000"/>
                      <w:kern w:val="0"/>
                      <w:sz w:val="16"/>
                      <w:szCs w:val="16"/>
                      <w:lang w:bidi="ar"/>
                    </w:rPr>
                    <w:t>SFP</w:t>
                  </w:r>
                  <w:proofErr w:type="spellEnd"/>
                  <w:r>
                    <w:rPr>
                      <w:rFonts w:ascii="微软雅黑" w:eastAsia="微软雅黑" w:hAnsi="微软雅黑" w:cs="微软雅黑" w:hint="eastAsia"/>
                      <w:color w:val="000000"/>
                      <w:kern w:val="0"/>
                      <w:sz w:val="16"/>
                      <w:szCs w:val="16"/>
                      <w:lang w:bidi="ar"/>
                    </w:rPr>
                    <w:t>+-</w:t>
                  </w:r>
                  <w:proofErr w:type="spellStart"/>
                  <w:r>
                    <w:rPr>
                      <w:rFonts w:ascii="微软雅黑" w:eastAsia="微软雅黑" w:hAnsi="微软雅黑" w:cs="微软雅黑" w:hint="eastAsia"/>
                      <w:color w:val="000000"/>
                      <w:kern w:val="0"/>
                      <w:sz w:val="16"/>
                      <w:szCs w:val="16"/>
                      <w:lang w:bidi="ar"/>
                    </w:rPr>
                    <w:t>10G</w:t>
                  </w:r>
                  <w:proofErr w:type="spellEnd"/>
                  <w:r>
                    <w:rPr>
                      <w:rFonts w:ascii="微软雅黑" w:eastAsia="微软雅黑" w:hAnsi="微软雅黑" w:cs="微软雅黑" w:hint="eastAsia"/>
                      <w:color w:val="000000"/>
                      <w:kern w:val="0"/>
                      <w:sz w:val="16"/>
                      <w:szCs w:val="16"/>
                      <w:lang w:bidi="ar"/>
                    </w:rPr>
                    <w:t>-多</w:t>
                  </w:r>
                  <w:proofErr w:type="gramStart"/>
                  <w:r>
                    <w:rPr>
                      <w:rFonts w:ascii="微软雅黑" w:eastAsia="微软雅黑" w:hAnsi="微软雅黑" w:cs="微软雅黑" w:hint="eastAsia"/>
                      <w:color w:val="000000"/>
                      <w:kern w:val="0"/>
                      <w:sz w:val="16"/>
                      <w:szCs w:val="16"/>
                      <w:lang w:bidi="ar"/>
                    </w:rPr>
                    <w:t>模</w:t>
                  </w:r>
                  <w:proofErr w:type="gramEnd"/>
                  <w:r>
                    <w:rPr>
                      <w:rFonts w:ascii="微软雅黑" w:eastAsia="微软雅黑" w:hAnsi="微软雅黑" w:cs="微软雅黑" w:hint="eastAsia"/>
                      <w:color w:val="000000"/>
                      <w:kern w:val="0"/>
                      <w:sz w:val="16"/>
                      <w:szCs w:val="16"/>
                      <w:lang w:bidi="ar"/>
                    </w:rPr>
                    <w:t>模块(</w:t>
                  </w:r>
                  <w:proofErr w:type="spellStart"/>
                  <w:r>
                    <w:rPr>
                      <w:rFonts w:ascii="微软雅黑" w:eastAsia="微软雅黑" w:hAnsi="微软雅黑" w:cs="微软雅黑" w:hint="eastAsia"/>
                      <w:color w:val="000000"/>
                      <w:kern w:val="0"/>
                      <w:sz w:val="16"/>
                      <w:szCs w:val="16"/>
                      <w:lang w:bidi="ar"/>
                    </w:rPr>
                    <w:t>850nm,0.3km,LC</w:t>
                  </w:r>
                  <w:proofErr w:type="spellEnd"/>
                  <w:r>
                    <w:rPr>
                      <w:rFonts w:ascii="微软雅黑" w:eastAsia="微软雅黑" w:hAnsi="微软雅黑" w:cs="微软雅黑" w:hint="eastAsia"/>
                      <w:color w:val="000000"/>
                      <w:kern w:val="0"/>
                      <w:sz w:val="16"/>
                      <w:szCs w:val="16"/>
                      <w:lang w:bidi="ar"/>
                    </w:rPr>
                    <w:t>)</w:t>
                  </w:r>
                </w:p>
              </w:tc>
              <w:tc>
                <w:tcPr>
                  <w:tcW w:w="841" w:type="dxa"/>
                  <w:tcBorders>
                    <w:top w:val="single" w:sz="4" w:space="0" w:color="000000"/>
                    <w:left w:val="single" w:sz="4" w:space="0" w:color="000000"/>
                    <w:bottom w:val="single" w:sz="4" w:space="0" w:color="000000"/>
                    <w:right w:val="single" w:sz="4" w:space="0" w:color="000000"/>
                  </w:tcBorders>
                  <w:vAlign w:val="center"/>
                </w:tcPr>
                <w:p w14:paraId="2E7098FA"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4</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4A96C842" w14:textId="77777777" w:rsidR="00530312" w:rsidRDefault="00530312">
                  <w:pPr>
                    <w:jc w:val="center"/>
                    <w:rPr>
                      <w:rFonts w:ascii="宋体" w:hAnsi="宋体" w:cs="宋体"/>
                      <w:color w:val="000000"/>
                      <w:sz w:val="24"/>
                    </w:rPr>
                  </w:pPr>
                </w:p>
              </w:tc>
            </w:tr>
            <w:tr w:rsidR="00530312" w14:paraId="20D58145"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3663AD18"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05004F52" w14:textId="77777777" w:rsidR="00530312" w:rsidRDefault="005170F5">
                  <w:pPr>
                    <w:widowControl/>
                    <w:jc w:val="left"/>
                    <w:textAlignment w:val="center"/>
                    <w:rPr>
                      <w:rFonts w:ascii="微软雅黑" w:eastAsia="微软雅黑" w:hAnsi="微软雅黑" w:cs="微软雅黑"/>
                      <w:color w:val="000000"/>
                      <w:sz w:val="18"/>
                      <w:szCs w:val="18"/>
                    </w:rPr>
                  </w:pPr>
                  <w:r>
                    <w:rPr>
                      <w:rFonts w:ascii="微软雅黑" w:eastAsia="微软雅黑" w:hAnsi="微软雅黑" w:cs="微软雅黑" w:hint="eastAsia"/>
                      <w:color w:val="000000"/>
                      <w:kern w:val="0"/>
                      <w:sz w:val="18"/>
                      <w:szCs w:val="18"/>
                      <w:lang w:bidi="ar"/>
                    </w:rPr>
                    <w:t>模块</w:t>
                  </w:r>
                </w:p>
              </w:tc>
              <w:tc>
                <w:tcPr>
                  <w:tcW w:w="3457" w:type="dxa"/>
                  <w:tcBorders>
                    <w:top w:val="single" w:sz="4" w:space="0" w:color="000000"/>
                    <w:left w:val="single" w:sz="4" w:space="0" w:color="000000"/>
                    <w:bottom w:val="single" w:sz="4" w:space="0" w:color="000000"/>
                    <w:right w:val="single" w:sz="4" w:space="0" w:color="000000"/>
                  </w:tcBorders>
                  <w:vAlign w:val="center"/>
                </w:tcPr>
                <w:p w14:paraId="0AD4E574"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DAC-</w:t>
                  </w:r>
                  <w:proofErr w:type="spellStart"/>
                  <w:r>
                    <w:rPr>
                      <w:rFonts w:ascii="微软雅黑" w:eastAsia="微软雅黑" w:hAnsi="微软雅黑" w:cs="微软雅黑" w:hint="eastAsia"/>
                      <w:color w:val="000000"/>
                      <w:kern w:val="0"/>
                      <w:sz w:val="16"/>
                      <w:szCs w:val="16"/>
                      <w:lang w:bidi="ar"/>
                    </w:rPr>
                    <w:t>40G</w:t>
                  </w:r>
                  <w:proofErr w:type="spellEnd"/>
                  <w:r>
                    <w:rPr>
                      <w:rFonts w:ascii="微软雅黑" w:eastAsia="微软雅黑" w:hAnsi="微软雅黑" w:cs="微软雅黑" w:hint="eastAsia"/>
                      <w:color w:val="000000"/>
                      <w:kern w:val="0"/>
                      <w:sz w:val="16"/>
                      <w:szCs w:val="16"/>
                      <w:lang w:bidi="ar"/>
                    </w:rPr>
                    <w:t>跳线 3米</w:t>
                  </w:r>
                </w:p>
              </w:tc>
              <w:tc>
                <w:tcPr>
                  <w:tcW w:w="841" w:type="dxa"/>
                  <w:tcBorders>
                    <w:top w:val="single" w:sz="4" w:space="0" w:color="000000"/>
                    <w:left w:val="single" w:sz="4" w:space="0" w:color="000000"/>
                    <w:bottom w:val="single" w:sz="4" w:space="0" w:color="000000"/>
                    <w:right w:val="single" w:sz="4" w:space="0" w:color="000000"/>
                  </w:tcBorders>
                  <w:vAlign w:val="center"/>
                </w:tcPr>
                <w:p w14:paraId="09A42824" w14:textId="77777777" w:rsidR="00530312" w:rsidRDefault="005170F5">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2</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2BF9E5E8" w14:textId="77777777" w:rsidR="00530312" w:rsidRDefault="00530312">
                  <w:pPr>
                    <w:jc w:val="center"/>
                    <w:rPr>
                      <w:rFonts w:ascii="宋体" w:hAnsi="宋体" w:cs="宋体"/>
                      <w:color w:val="000000"/>
                      <w:sz w:val="24"/>
                    </w:rPr>
                  </w:pPr>
                </w:p>
              </w:tc>
            </w:tr>
            <w:tr w:rsidR="00530312" w14:paraId="3C33FB75" w14:textId="77777777">
              <w:trPr>
                <w:trHeight w:val="285"/>
              </w:trPr>
              <w:tc>
                <w:tcPr>
                  <w:tcW w:w="1801" w:type="dxa"/>
                  <w:vMerge/>
                  <w:tcBorders>
                    <w:top w:val="single" w:sz="4" w:space="0" w:color="000000"/>
                    <w:left w:val="single" w:sz="4" w:space="0" w:color="000000"/>
                    <w:bottom w:val="single" w:sz="4" w:space="0" w:color="000000"/>
                    <w:right w:val="single" w:sz="4" w:space="0" w:color="000000"/>
                  </w:tcBorders>
                  <w:noWrap/>
                  <w:vAlign w:val="center"/>
                </w:tcPr>
                <w:p w14:paraId="73BB6082" w14:textId="77777777" w:rsidR="00530312" w:rsidRDefault="00530312">
                  <w:pPr>
                    <w:jc w:val="center"/>
                    <w:rPr>
                      <w:rFonts w:ascii="宋体" w:hAnsi="宋体" w:cs="宋体"/>
                      <w:color w:val="000000"/>
                      <w:sz w:val="24"/>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7C46E1B8" w14:textId="77777777" w:rsidR="00530312" w:rsidRDefault="005170F5">
                  <w:pPr>
                    <w:widowControl/>
                    <w:jc w:val="left"/>
                    <w:textAlignment w:val="center"/>
                    <w:rPr>
                      <w:rFonts w:ascii="宋体" w:hAnsi="宋体" w:cs="宋体"/>
                      <w:color w:val="000000"/>
                      <w:sz w:val="24"/>
                    </w:rPr>
                  </w:pPr>
                  <w:r>
                    <w:rPr>
                      <w:rFonts w:ascii="宋体" w:hAnsi="宋体" w:cs="宋体" w:hint="eastAsia"/>
                      <w:color w:val="000000"/>
                      <w:kern w:val="0"/>
                      <w:sz w:val="24"/>
                      <w:lang w:bidi="ar"/>
                    </w:rPr>
                    <w:t>其他</w:t>
                  </w:r>
                </w:p>
              </w:tc>
              <w:tc>
                <w:tcPr>
                  <w:tcW w:w="3457" w:type="dxa"/>
                  <w:tcBorders>
                    <w:top w:val="single" w:sz="4" w:space="0" w:color="000000"/>
                    <w:left w:val="single" w:sz="4" w:space="0" w:color="000000"/>
                    <w:bottom w:val="single" w:sz="4" w:space="0" w:color="000000"/>
                    <w:right w:val="single" w:sz="4" w:space="0" w:color="000000"/>
                  </w:tcBorders>
                  <w:vAlign w:val="center"/>
                </w:tcPr>
                <w:p w14:paraId="7B84A76F" w14:textId="77777777" w:rsidR="00530312" w:rsidRDefault="005170F5">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lang w:bidi="ar"/>
                    </w:rPr>
                    <w:t xml:space="preserve">Intel </w:t>
                  </w:r>
                  <w:proofErr w:type="spellStart"/>
                  <w:r>
                    <w:rPr>
                      <w:rFonts w:ascii="微软雅黑" w:eastAsia="微软雅黑" w:hAnsi="微软雅黑" w:cs="微软雅黑" w:hint="eastAsia"/>
                      <w:color w:val="000000"/>
                      <w:kern w:val="0"/>
                      <w:sz w:val="16"/>
                      <w:szCs w:val="16"/>
                      <w:lang w:bidi="ar"/>
                    </w:rPr>
                    <w:t>VROC</w:t>
                  </w:r>
                  <w:proofErr w:type="spellEnd"/>
                  <w:r>
                    <w:rPr>
                      <w:rFonts w:ascii="微软雅黑" w:eastAsia="微软雅黑" w:hAnsi="微软雅黑" w:cs="微软雅黑" w:hint="eastAsia"/>
                      <w:color w:val="000000"/>
                      <w:kern w:val="0"/>
                      <w:sz w:val="16"/>
                      <w:szCs w:val="16"/>
                      <w:lang w:bidi="ar"/>
                    </w:rPr>
                    <w:t xml:space="preserve"> </w:t>
                  </w:r>
                  <w:proofErr w:type="spellStart"/>
                  <w:r>
                    <w:rPr>
                      <w:rFonts w:ascii="微软雅黑" w:eastAsia="微软雅黑" w:hAnsi="微软雅黑" w:cs="微软雅黑" w:hint="eastAsia"/>
                      <w:color w:val="000000"/>
                      <w:kern w:val="0"/>
                      <w:sz w:val="16"/>
                      <w:szCs w:val="16"/>
                      <w:lang w:bidi="ar"/>
                    </w:rPr>
                    <w:t>CPREMMOD</w:t>
                  </w:r>
                  <w:proofErr w:type="spellEnd"/>
                  <w:r>
                    <w:rPr>
                      <w:rFonts w:ascii="微软雅黑" w:eastAsia="微软雅黑" w:hAnsi="微软雅黑" w:cs="微软雅黑" w:hint="eastAsia"/>
                      <w:color w:val="000000"/>
                      <w:kern w:val="0"/>
                      <w:sz w:val="16"/>
                      <w:szCs w:val="16"/>
                      <w:lang w:bidi="ar"/>
                    </w:rPr>
                    <w:t xml:space="preserve"> Premium </w:t>
                  </w:r>
                  <w:proofErr w:type="spellStart"/>
                  <w:r>
                    <w:rPr>
                      <w:rFonts w:ascii="微软雅黑" w:eastAsia="微软雅黑" w:hAnsi="微软雅黑" w:cs="微软雅黑" w:hint="eastAsia"/>
                      <w:color w:val="000000"/>
                      <w:kern w:val="0"/>
                      <w:sz w:val="16"/>
                      <w:szCs w:val="16"/>
                      <w:lang w:bidi="ar"/>
                    </w:rPr>
                    <w:t>NVMERAID</w:t>
                  </w:r>
                  <w:proofErr w:type="spellEnd"/>
                  <w:r>
                    <w:rPr>
                      <w:rFonts w:ascii="微软雅黑" w:eastAsia="微软雅黑" w:hAnsi="微软雅黑" w:cs="微软雅黑" w:hint="eastAsia"/>
                      <w:color w:val="000000"/>
                      <w:kern w:val="0"/>
                      <w:sz w:val="16"/>
                      <w:szCs w:val="16"/>
                      <w:lang w:bidi="ar"/>
                    </w:rPr>
                    <w:t>高级版</w:t>
                  </w:r>
                </w:p>
              </w:tc>
              <w:tc>
                <w:tcPr>
                  <w:tcW w:w="841" w:type="dxa"/>
                  <w:tcBorders>
                    <w:top w:val="single" w:sz="4" w:space="0" w:color="000000"/>
                    <w:left w:val="single" w:sz="4" w:space="0" w:color="000000"/>
                    <w:bottom w:val="single" w:sz="4" w:space="0" w:color="000000"/>
                    <w:right w:val="single" w:sz="4" w:space="0" w:color="000000"/>
                  </w:tcBorders>
                  <w:noWrap/>
                  <w:vAlign w:val="center"/>
                </w:tcPr>
                <w:p w14:paraId="13062A5E" w14:textId="77777777" w:rsidR="00530312" w:rsidRDefault="005170F5">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01" w:type="dxa"/>
                  <w:vMerge/>
                  <w:tcBorders>
                    <w:top w:val="single" w:sz="4" w:space="0" w:color="000000"/>
                    <w:left w:val="single" w:sz="4" w:space="0" w:color="000000"/>
                    <w:bottom w:val="single" w:sz="4" w:space="0" w:color="000000"/>
                    <w:right w:val="single" w:sz="4" w:space="0" w:color="000000"/>
                  </w:tcBorders>
                  <w:vAlign w:val="center"/>
                </w:tcPr>
                <w:p w14:paraId="7B2EB9C8" w14:textId="77777777" w:rsidR="00530312" w:rsidRDefault="00530312">
                  <w:pPr>
                    <w:jc w:val="center"/>
                    <w:rPr>
                      <w:rFonts w:ascii="宋体" w:hAnsi="宋体" w:cs="宋体"/>
                      <w:color w:val="000000"/>
                      <w:sz w:val="24"/>
                    </w:rPr>
                  </w:pPr>
                </w:p>
              </w:tc>
            </w:tr>
          </w:tbl>
          <w:p w14:paraId="2A2C79D7" w14:textId="77777777" w:rsidR="00530312" w:rsidRDefault="005170F5">
            <w:pPr>
              <w:spacing w:line="360" w:lineRule="auto"/>
              <w:rPr>
                <w:rFonts w:ascii="黑体" w:eastAsia="黑体" w:hAnsi="黑体" w:cs="黑体"/>
                <w:b/>
                <w:sz w:val="24"/>
              </w:rPr>
            </w:pPr>
            <w:r>
              <w:rPr>
                <w:rFonts w:ascii="黑体" w:eastAsia="黑体" w:hAnsi="黑体" w:cs="黑体" w:hint="eastAsia"/>
                <w:b/>
                <w:sz w:val="24"/>
              </w:rPr>
              <w:t>三、建设进度要求</w:t>
            </w:r>
          </w:p>
          <w:p w14:paraId="5DE00246"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1、整体</w:t>
            </w:r>
            <w:r>
              <w:rPr>
                <w:rFonts w:ascii="黑体" w:eastAsia="黑体" w:hAnsi="黑体" w:cs="黑体" w:hint="eastAsia"/>
                <w:b/>
                <w:sz w:val="24"/>
              </w:rPr>
              <w:t>建设进度要求</w:t>
            </w:r>
          </w:p>
          <w:p w14:paraId="545BFDBD"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整体建设周期：2025年7月1日-2025年12月30日（6个月）</w:t>
            </w:r>
          </w:p>
          <w:p w14:paraId="25DF1607"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 xml:space="preserve"> 2、阶段计划</w:t>
            </w:r>
          </w:p>
          <w:p w14:paraId="5CBC1C6E"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（1）系统梳理及数据标准（7月1日-7月10日）</w:t>
            </w:r>
          </w:p>
          <w:p w14:paraId="70377A5A"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（2）系统部</w:t>
            </w:r>
            <w:proofErr w:type="gramStart"/>
            <w:r>
              <w:rPr>
                <w:rFonts w:ascii="黑体" w:eastAsia="黑体" w:hAnsi="黑体" w:cs="黑体" w:hint="eastAsia"/>
                <w:sz w:val="24"/>
              </w:rPr>
              <w:t>署期</w:t>
            </w:r>
            <w:proofErr w:type="gramEnd"/>
            <w:r>
              <w:rPr>
                <w:rFonts w:ascii="黑体" w:eastAsia="黑体" w:hAnsi="黑体" w:cs="黑体" w:hint="eastAsia"/>
                <w:sz w:val="24"/>
              </w:rPr>
              <w:t>（7月11日-7月30日）</w:t>
            </w:r>
          </w:p>
          <w:p w14:paraId="01EF4F55"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（3）实施交付期（8月1日-8月31日）</w:t>
            </w:r>
          </w:p>
          <w:p w14:paraId="5E27C54F"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（4）系统优化期（9月1日-12月20日）</w:t>
            </w:r>
          </w:p>
          <w:p w14:paraId="0C5191A5"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（5）项目验收期（12月21日-12月30日）</w:t>
            </w:r>
          </w:p>
          <w:p w14:paraId="0D0D81B3" w14:textId="77777777" w:rsidR="00530312" w:rsidRDefault="005170F5">
            <w:pPr>
              <w:spacing w:line="360" w:lineRule="auto"/>
              <w:ind w:firstLineChars="200" w:firstLine="482"/>
              <w:rPr>
                <w:rFonts w:ascii="黑体" w:eastAsia="黑体" w:hAnsi="黑体" w:cs="黑体"/>
                <w:b/>
                <w:bCs/>
                <w:sz w:val="24"/>
              </w:rPr>
            </w:pPr>
            <w:r>
              <w:rPr>
                <w:rFonts w:ascii="黑体" w:eastAsia="黑体" w:hAnsi="黑体" w:cs="黑体" w:hint="eastAsia"/>
                <w:b/>
                <w:bCs/>
                <w:sz w:val="24"/>
              </w:rPr>
              <w:t>3、进度管控</w:t>
            </w:r>
          </w:p>
          <w:p w14:paraId="1DA54A9B"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（1）周报机制：每周五召开项目进度会。</w:t>
            </w:r>
          </w:p>
          <w:p w14:paraId="3BFE0D2B" w14:textId="77777777" w:rsidR="00530312" w:rsidRDefault="005170F5">
            <w:pPr>
              <w:spacing w:line="360" w:lineRule="auto"/>
              <w:ind w:firstLineChars="200" w:firstLine="480"/>
              <w:rPr>
                <w:rFonts w:ascii="黑体" w:eastAsia="黑体" w:hAnsi="黑体" w:cs="黑体"/>
                <w:sz w:val="24"/>
              </w:rPr>
            </w:pPr>
            <w:r>
              <w:rPr>
                <w:rFonts w:ascii="黑体" w:eastAsia="黑体" w:hAnsi="黑体" w:cs="黑体" w:hint="eastAsia"/>
                <w:sz w:val="24"/>
              </w:rPr>
              <w:t xml:space="preserve">（2）预警阈值：单项进度偏差≥5天触发红色预警。 </w:t>
            </w:r>
          </w:p>
          <w:p w14:paraId="3BF420F1" w14:textId="77777777" w:rsidR="00530312" w:rsidRDefault="005170F5">
            <w:pPr>
              <w:adjustRightInd w:val="0"/>
              <w:snapToGrid w:val="0"/>
              <w:spacing w:line="360" w:lineRule="auto"/>
              <w:ind w:firstLineChars="200" w:firstLine="480"/>
              <w:jc w:val="left"/>
              <w:rPr>
                <w:rFonts w:ascii="黑体" w:eastAsia="黑体" w:hAnsi="黑体" w:cs="黑体"/>
                <w:sz w:val="24"/>
              </w:rPr>
            </w:pPr>
            <w:r>
              <w:rPr>
                <w:rFonts w:ascii="黑体" w:eastAsia="黑体" w:hAnsi="黑体" w:cs="黑体" w:hint="eastAsia"/>
                <w:sz w:val="24"/>
              </w:rPr>
              <w:t>（3）交付保障：承建公司派工程师驻场。</w:t>
            </w:r>
          </w:p>
        </w:tc>
      </w:tr>
    </w:tbl>
    <w:p w14:paraId="2C6C4002" w14:textId="77777777" w:rsidR="00530312" w:rsidRDefault="005170F5">
      <w:pPr>
        <w:rPr>
          <w:color w:val="000000"/>
        </w:rPr>
      </w:pPr>
      <w:r>
        <w:rPr>
          <w:rFonts w:hint="eastAsia"/>
          <w:color w:val="000000"/>
        </w:rPr>
        <w:lastRenderedPageBreak/>
        <w:t>备注：</w:t>
      </w:r>
      <w:r>
        <w:rPr>
          <w:rFonts w:hint="eastAsia"/>
          <w:color w:val="000000"/>
        </w:rPr>
        <w:t>1.</w:t>
      </w:r>
      <w:r>
        <w:rPr>
          <w:rFonts w:hint="eastAsia"/>
          <w:color w:val="000000"/>
        </w:rPr>
        <w:t>以上参数仅供参考，报价产品达到或优于以上参数即可，竞</w:t>
      </w:r>
      <w:proofErr w:type="gramStart"/>
      <w:r>
        <w:rPr>
          <w:rFonts w:hint="eastAsia"/>
          <w:color w:val="000000"/>
        </w:rPr>
        <w:t>谈文件</w:t>
      </w:r>
      <w:proofErr w:type="gramEnd"/>
      <w:r>
        <w:rPr>
          <w:rFonts w:hint="eastAsia"/>
          <w:color w:val="000000"/>
        </w:rPr>
        <w:t>注明详细参数。</w:t>
      </w:r>
    </w:p>
    <w:p w14:paraId="6809755A" w14:textId="77777777" w:rsidR="00530312" w:rsidRDefault="005170F5">
      <w:pPr>
        <w:ind w:firstLineChars="300" w:firstLine="630"/>
        <w:rPr>
          <w:color w:val="000000"/>
        </w:rPr>
      </w:pPr>
      <w:r>
        <w:rPr>
          <w:rFonts w:hint="eastAsia"/>
          <w:color w:val="000000"/>
        </w:rPr>
        <w:t>2.</w:t>
      </w:r>
      <w:r>
        <w:rPr>
          <w:rFonts w:hint="eastAsia"/>
          <w:color w:val="000000"/>
        </w:rPr>
        <w:t>为保障产品质量及售后服务，所提供主要设备需提供厂家“产品售后承诺书”并加盖厂家公章。</w:t>
      </w:r>
    </w:p>
    <w:p w14:paraId="5AC5FF05" w14:textId="77777777" w:rsidR="00530312" w:rsidRDefault="005170F5">
      <w:pPr>
        <w:ind w:firstLineChars="300" w:firstLine="630"/>
      </w:pPr>
      <w:r>
        <w:rPr>
          <w:rFonts w:hint="eastAsia"/>
          <w:color w:val="000000"/>
        </w:rPr>
        <w:t>3.</w:t>
      </w:r>
      <w:r>
        <w:rPr>
          <w:rFonts w:hint="eastAsia"/>
          <w:color w:val="000000"/>
        </w:rPr>
        <w:t>竞谈商家需协同专业技术人员共同参与，便于技术沟通。</w:t>
      </w:r>
    </w:p>
    <w:p w14:paraId="7F32A11A" w14:textId="77777777" w:rsidR="00530312" w:rsidRDefault="005170F5">
      <w:pPr>
        <w:spacing w:line="360" w:lineRule="auto"/>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五、最终报价及相关文件要求：</w:t>
      </w:r>
    </w:p>
    <w:tbl>
      <w:tblPr>
        <w:tblW w:w="5000" w:type="pct"/>
        <w:tblLook w:val="04A0" w:firstRow="1" w:lastRow="0" w:firstColumn="1" w:lastColumn="0" w:noHBand="0" w:noVBand="1"/>
      </w:tblPr>
      <w:tblGrid>
        <w:gridCol w:w="574"/>
        <w:gridCol w:w="1121"/>
        <w:gridCol w:w="767"/>
        <w:gridCol w:w="2040"/>
        <w:gridCol w:w="1859"/>
        <w:gridCol w:w="927"/>
        <w:gridCol w:w="1248"/>
        <w:gridCol w:w="1090"/>
        <w:gridCol w:w="794"/>
      </w:tblGrid>
      <w:tr w:rsidR="00530312" w14:paraId="36B9CF83" w14:textId="77777777">
        <w:trPr>
          <w:trHeight w:val="270"/>
        </w:trPr>
        <w:tc>
          <w:tcPr>
            <w:tcW w:w="5000" w:type="pct"/>
            <w:gridSpan w:val="9"/>
            <w:tcBorders>
              <w:top w:val="nil"/>
              <w:left w:val="nil"/>
              <w:bottom w:val="single" w:sz="4" w:space="0" w:color="auto"/>
              <w:right w:val="nil"/>
            </w:tcBorders>
            <w:noWrap/>
            <w:vAlign w:val="center"/>
          </w:tcPr>
          <w:p w14:paraId="5351AC9E" w14:textId="77777777" w:rsidR="00530312" w:rsidRDefault="005170F5">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lastRenderedPageBreak/>
              <w:t>（一）报价文件格式</w:t>
            </w:r>
          </w:p>
        </w:tc>
      </w:tr>
      <w:tr w:rsidR="00530312" w14:paraId="64B04889" w14:textId="77777777">
        <w:trPr>
          <w:trHeight w:val="270"/>
        </w:trPr>
        <w:tc>
          <w:tcPr>
            <w:tcW w:w="275" w:type="pct"/>
            <w:tcBorders>
              <w:top w:val="nil"/>
              <w:left w:val="single" w:sz="4" w:space="0" w:color="auto"/>
              <w:bottom w:val="single" w:sz="4" w:space="0" w:color="auto"/>
              <w:right w:val="single" w:sz="4" w:space="0" w:color="auto"/>
            </w:tcBorders>
            <w:vAlign w:val="center"/>
          </w:tcPr>
          <w:p w14:paraId="486DC295"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8" w:type="pct"/>
            <w:tcBorders>
              <w:top w:val="nil"/>
              <w:left w:val="nil"/>
              <w:bottom w:val="single" w:sz="4" w:space="0" w:color="auto"/>
              <w:right w:val="single" w:sz="4" w:space="0" w:color="auto"/>
            </w:tcBorders>
            <w:vAlign w:val="center"/>
          </w:tcPr>
          <w:p w14:paraId="2034244B"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368" w:type="pct"/>
            <w:tcBorders>
              <w:top w:val="nil"/>
              <w:left w:val="nil"/>
              <w:bottom w:val="single" w:sz="4" w:space="0" w:color="auto"/>
              <w:right w:val="single" w:sz="4" w:space="0" w:color="auto"/>
            </w:tcBorders>
            <w:vAlign w:val="center"/>
          </w:tcPr>
          <w:p w14:paraId="4C7FC3DA"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979" w:type="pct"/>
            <w:tcBorders>
              <w:top w:val="nil"/>
              <w:left w:val="nil"/>
              <w:bottom w:val="single" w:sz="4" w:space="0" w:color="auto"/>
              <w:right w:val="single" w:sz="4" w:space="0" w:color="auto"/>
            </w:tcBorders>
            <w:vAlign w:val="center"/>
          </w:tcPr>
          <w:p w14:paraId="50381354" w14:textId="77777777" w:rsidR="00530312" w:rsidRDefault="005170F5">
            <w:pPr>
              <w:widowControl/>
              <w:jc w:val="center"/>
              <w:rPr>
                <w:rFonts w:ascii="宋体" w:hAnsi="宋体" w:cs="宋体"/>
                <w:color w:val="000000"/>
                <w:kern w:val="0"/>
                <w:sz w:val="18"/>
                <w:szCs w:val="18"/>
              </w:rPr>
            </w:pPr>
            <w:r>
              <w:rPr>
                <w:rFonts w:ascii="宋体" w:hAnsi="宋体" w:cs="宋体"/>
                <w:color w:val="000000"/>
                <w:kern w:val="0"/>
                <w:sz w:val="18"/>
                <w:szCs w:val="18"/>
              </w:rPr>
              <w:t>规格型号</w:t>
            </w:r>
          </w:p>
        </w:tc>
        <w:tc>
          <w:tcPr>
            <w:tcW w:w="892" w:type="pct"/>
            <w:tcBorders>
              <w:top w:val="nil"/>
              <w:left w:val="nil"/>
              <w:bottom w:val="single" w:sz="4" w:space="0" w:color="auto"/>
              <w:right w:val="single" w:sz="4" w:space="0" w:color="auto"/>
            </w:tcBorders>
            <w:vAlign w:val="center"/>
          </w:tcPr>
          <w:p w14:paraId="4A750D93"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445" w:type="pct"/>
            <w:tcBorders>
              <w:top w:val="nil"/>
              <w:left w:val="nil"/>
              <w:bottom w:val="single" w:sz="4" w:space="0" w:color="auto"/>
              <w:right w:val="single" w:sz="4" w:space="0" w:color="auto"/>
            </w:tcBorders>
            <w:vAlign w:val="center"/>
          </w:tcPr>
          <w:p w14:paraId="1BA6B79D"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599" w:type="pct"/>
            <w:tcBorders>
              <w:top w:val="nil"/>
              <w:left w:val="nil"/>
              <w:bottom w:val="single" w:sz="4" w:space="0" w:color="auto"/>
              <w:right w:val="single" w:sz="4" w:space="0" w:color="auto"/>
            </w:tcBorders>
            <w:vAlign w:val="center"/>
          </w:tcPr>
          <w:p w14:paraId="21E788F3" w14:textId="77777777" w:rsidR="00530312" w:rsidRDefault="005170F5">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523" w:type="pct"/>
            <w:tcBorders>
              <w:top w:val="nil"/>
              <w:left w:val="nil"/>
              <w:bottom w:val="single" w:sz="4" w:space="0" w:color="auto"/>
              <w:right w:val="single" w:sz="4" w:space="0" w:color="auto"/>
            </w:tcBorders>
            <w:vAlign w:val="center"/>
          </w:tcPr>
          <w:p w14:paraId="6F4E8791"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381" w:type="pct"/>
            <w:tcBorders>
              <w:top w:val="nil"/>
              <w:left w:val="nil"/>
              <w:bottom w:val="single" w:sz="4" w:space="0" w:color="auto"/>
              <w:right w:val="single" w:sz="4" w:space="0" w:color="auto"/>
            </w:tcBorders>
            <w:vAlign w:val="center"/>
          </w:tcPr>
          <w:p w14:paraId="55BA290D"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530312" w14:paraId="06C7B7D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5DB2242"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38" w:type="pct"/>
            <w:tcBorders>
              <w:top w:val="nil"/>
              <w:left w:val="nil"/>
              <w:bottom w:val="single" w:sz="4" w:space="0" w:color="auto"/>
              <w:right w:val="single" w:sz="4" w:space="0" w:color="auto"/>
            </w:tcBorders>
            <w:noWrap/>
            <w:vAlign w:val="center"/>
          </w:tcPr>
          <w:p w14:paraId="6C682970" w14:textId="77777777" w:rsidR="00530312" w:rsidRDefault="0053031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5E400EC8" w14:textId="77777777" w:rsidR="00530312" w:rsidRDefault="0053031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64F78EDF" w14:textId="77777777" w:rsidR="00530312" w:rsidRDefault="0053031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79D2DD13" w14:textId="77777777" w:rsidR="00530312" w:rsidRDefault="0053031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05CC33B2" w14:textId="77777777" w:rsidR="00530312" w:rsidRDefault="0053031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27BEDA" w14:textId="77777777" w:rsidR="00530312" w:rsidRDefault="0053031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24576B86" w14:textId="77777777" w:rsidR="00530312" w:rsidRDefault="0053031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E6B08E3" w14:textId="77777777" w:rsidR="00530312" w:rsidRDefault="00530312">
            <w:pPr>
              <w:widowControl/>
              <w:jc w:val="center"/>
              <w:rPr>
                <w:rFonts w:ascii="宋体" w:hAnsi="宋体" w:cs="宋体"/>
                <w:color w:val="000000"/>
                <w:kern w:val="0"/>
                <w:sz w:val="22"/>
                <w:szCs w:val="22"/>
              </w:rPr>
            </w:pPr>
          </w:p>
        </w:tc>
      </w:tr>
      <w:tr w:rsidR="00530312" w14:paraId="78D0F8B6"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32C2E174"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38" w:type="pct"/>
            <w:tcBorders>
              <w:top w:val="nil"/>
              <w:left w:val="nil"/>
              <w:bottom w:val="single" w:sz="4" w:space="0" w:color="auto"/>
              <w:right w:val="single" w:sz="4" w:space="0" w:color="auto"/>
            </w:tcBorders>
            <w:noWrap/>
            <w:vAlign w:val="center"/>
          </w:tcPr>
          <w:p w14:paraId="31DF1D49" w14:textId="77777777" w:rsidR="00530312" w:rsidRDefault="0053031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11165114" w14:textId="77777777" w:rsidR="00530312" w:rsidRDefault="0053031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08F6ED1A" w14:textId="77777777" w:rsidR="00530312" w:rsidRDefault="0053031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51712ED2" w14:textId="77777777" w:rsidR="00530312" w:rsidRDefault="0053031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2CBFFDC5" w14:textId="77777777" w:rsidR="00530312" w:rsidRDefault="0053031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2BAAED9" w14:textId="77777777" w:rsidR="00530312" w:rsidRDefault="0053031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051A21FF" w14:textId="77777777" w:rsidR="00530312" w:rsidRDefault="0053031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5AE5776" w14:textId="77777777" w:rsidR="00530312" w:rsidRDefault="00530312">
            <w:pPr>
              <w:widowControl/>
              <w:jc w:val="center"/>
              <w:rPr>
                <w:rFonts w:ascii="宋体" w:hAnsi="宋体" w:cs="宋体"/>
                <w:color w:val="000000"/>
                <w:kern w:val="0"/>
                <w:sz w:val="22"/>
                <w:szCs w:val="22"/>
              </w:rPr>
            </w:pPr>
          </w:p>
        </w:tc>
      </w:tr>
      <w:tr w:rsidR="00530312" w14:paraId="31CBDDC5"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7686824C"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38" w:type="pct"/>
            <w:tcBorders>
              <w:top w:val="nil"/>
              <w:left w:val="nil"/>
              <w:bottom w:val="single" w:sz="4" w:space="0" w:color="auto"/>
              <w:right w:val="single" w:sz="4" w:space="0" w:color="auto"/>
            </w:tcBorders>
            <w:noWrap/>
            <w:vAlign w:val="center"/>
          </w:tcPr>
          <w:p w14:paraId="3ADC0329" w14:textId="77777777" w:rsidR="00530312" w:rsidRDefault="00530312">
            <w:pPr>
              <w:widowControl/>
              <w:jc w:val="center"/>
              <w:rPr>
                <w:rFonts w:ascii="宋体" w:hAnsi="宋体" w:cs="宋体"/>
                <w:color w:val="000000"/>
                <w:kern w:val="0"/>
                <w:sz w:val="22"/>
                <w:szCs w:val="22"/>
              </w:rPr>
            </w:pPr>
          </w:p>
        </w:tc>
        <w:tc>
          <w:tcPr>
            <w:tcW w:w="368" w:type="pct"/>
            <w:tcBorders>
              <w:top w:val="nil"/>
              <w:left w:val="nil"/>
              <w:bottom w:val="single" w:sz="4" w:space="0" w:color="auto"/>
              <w:right w:val="single" w:sz="4" w:space="0" w:color="auto"/>
            </w:tcBorders>
            <w:noWrap/>
            <w:vAlign w:val="center"/>
          </w:tcPr>
          <w:p w14:paraId="2DFF970D" w14:textId="77777777" w:rsidR="00530312" w:rsidRDefault="00530312">
            <w:pPr>
              <w:widowControl/>
              <w:jc w:val="center"/>
              <w:rPr>
                <w:rFonts w:ascii="宋体" w:hAnsi="宋体" w:cs="宋体"/>
                <w:color w:val="000000"/>
                <w:kern w:val="0"/>
                <w:sz w:val="22"/>
                <w:szCs w:val="22"/>
              </w:rPr>
            </w:pPr>
          </w:p>
        </w:tc>
        <w:tc>
          <w:tcPr>
            <w:tcW w:w="979" w:type="pct"/>
            <w:tcBorders>
              <w:top w:val="nil"/>
              <w:left w:val="nil"/>
              <w:bottom w:val="single" w:sz="4" w:space="0" w:color="auto"/>
              <w:right w:val="single" w:sz="4" w:space="0" w:color="auto"/>
            </w:tcBorders>
            <w:noWrap/>
            <w:vAlign w:val="center"/>
          </w:tcPr>
          <w:p w14:paraId="78118BC7" w14:textId="77777777" w:rsidR="00530312" w:rsidRDefault="00530312">
            <w:pPr>
              <w:widowControl/>
              <w:jc w:val="center"/>
              <w:rPr>
                <w:rFonts w:ascii="宋体" w:hAnsi="宋体" w:cs="宋体"/>
                <w:color w:val="000000"/>
                <w:kern w:val="0"/>
                <w:sz w:val="22"/>
                <w:szCs w:val="22"/>
              </w:rPr>
            </w:pPr>
          </w:p>
        </w:tc>
        <w:tc>
          <w:tcPr>
            <w:tcW w:w="892" w:type="pct"/>
            <w:tcBorders>
              <w:top w:val="nil"/>
              <w:left w:val="nil"/>
              <w:bottom w:val="single" w:sz="4" w:space="0" w:color="auto"/>
              <w:right w:val="single" w:sz="4" w:space="0" w:color="auto"/>
            </w:tcBorders>
            <w:noWrap/>
            <w:vAlign w:val="center"/>
          </w:tcPr>
          <w:p w14:paraId="62F6D051" w14:textId="77777777" w:rsidR="00530312" w:rsidRDefault="00530312">
            <w:pPr>
              <w:widowControl/>
              <w:jc w:val="center"/>
              <w:rPr>
                <w:rFonts w:ascii="宋体" w:hAnsi="宋体" w:cs="宋体"/>
                <w:color w:val="000000"/>
                <w:kern w:val="0"/>
                <w:sz w:val="22"/>
                <w:szCs w:val="22"/>
              </w:rPr>
            </w:pPr>
          </w:p>
        </w:tc>
        <w:tc>
          <w:tcPr>
            <w:tcW w:w="445" w:type="pct"/>
            <w:tcBorders>
              <w:top w:val="nil"/>
              <w:left w:val="nil"/>
              <w:bottom w:val="single" w:sz="4" w:space="0" w:color="auto"/>
              <w:right w:val="single" w:sz="4" w:space="0" w:color="auto"/>
            </w:tcBorders>
            <w:noWrap/>
            <w:vAlign w:val="center"/>
          </w:tcPr>
          <w:p w14:paraId="714CECCD" w14:textId="77777777" w:rsidR="00530312" w:rsidRDefault="00530312">
            <w:pPr>
              <w:widowControl/>
              <w:jc w:val="center"/>
              <w:rPr>
                <w:rFonts w:ascii="宋体" w:hAnsi="宋体" w:cs="宋体"/>
                <w:color w:val="000000"/>
                <w:kern w:val="0"/>
                <w:sz w:val="22"/>
                <w:szCs w:val="22"/>
              </w:rPr>
            </w:pPr>
          </w:p>
        </w:tc>
        <w:tc>
          <w:tcPr>
            <w:tcW w:w="599" w:type="pct"/>
            <w:tcBorders>
              <w:top w:val="nil"/>
              <w:left w:val="nil"/>
              <w:bottom w:val="single" w:sz="4" w:space="0" w:color="auto"/>
              <w:right w:val="single" w:sz="4" w:space="0" w:color="auto"/>
            </w:tcBorders>
            <w:noWrap/>
            <w:vAlign w:val="center"/>
          </w:tcPr>
          <w:p w14:paraId="51F83B5A" w14:textId="77777777" w:rsidR="00530312" w:rsidRDefault="00530312">
            <w:pPr>
              <w:widowControl/>
              <w:jc w:val="center"/>
              <w:rPr>
                <w:rFonts w:ascii="宋体" w:hAnsi="宋体" w:cs="宋体"/>
                <w:color w:val="000000"/>
                <w:kern w:val="0"/>
                <w:sz w:val="22"/>
                <w:szCs w:val="22"/>
              </w:rPr>
            </w:pPr>
          </w:p>
        </w:tc>
        <w:tc>
          <w:tcPr>
            <w:tcW w:w="523" w:type="pct"/>
            <w:tcBorders>
              <w:top w:val="nil"/>
              <w:left w:val="nil"/>
              <w:bottom w:val="single" w:sz="4" w:space="0" w:color="auto"/>
              <w:right w:val="single" w:sz="4" w:space="0" w:color="auto"/>
            </w:tcBorders>
            <w:noWrap/>
            <w:vAlign w:val="center"/>
          </w:tcPr>
          <w:p w14:paraId="1F4D4AB2" w14:textId="77777777" w:rsidR="00530312" w:rsidRDefault="00530312">
            <w:pPr>
              <w:widowControl/>
              <w:jc w:val="center"/>
              <w:rPr>
                <w:rFonts w:ascii="宋体" w:hAnsi="宋体" w:cs="宋体"/>
                <w:color w:val="000000"/>
                <w:kern w:val="0"/>
                <w:sz w:val="22"/>
                <w:szCs w:val="22"/>
              </w:rPr>
            </w:pPr>
          </w:p>
        </w:tc>
        <w:tc>
          <w:tcPr>
            <w:tcW w:w="381" w:type="pct"/>
            <w:tcBorders>
              <w:top w:val="nil"/>
              <w:left w:val="nil"/>
              <w:bottom w:val="single" w:sz="4" w:space="0" w:color="auto"/>
              <w:right w:val="single" w:sz="4" w:space="0" w:color="auto"/>
            </w:tcBorders>
            <w:vAlign w:val="center"/>
          </w:tcPr>
          <w:p w14:paraId="5DE252E0" w14:textId="77777777" w:rsidR="00530312" w:rsidRDefault="00530312">
            <w:pPr>
              <w:widowControl/>
              <w:jc w:val="center"/>
              <w:rPr>
                <w:rFonts w:ascii="宋体" w:hAnsi="宋体" w:cs="宋体"/>
                <w:color w:val="000000"/>
                <w:kern w:val="0"/>
                <w:sz w:val="22"/>
                <w:szCs w:val="22"/>
              </w:rPr>
            </w:pPr>
          </w:p>
        </w:tc>
      </w:tr>
      <w:tr w:rsidR="00530312" w14:paraId="2AF9B06B" w14:textId="77777777">
        <w:trPr>
          <w:trHeight w:val="270"/>
        </w:trPr>
        <w:tc>
          <w:tcPr>
            <w:tcW w:w="275" w:type="pct"/>
            <w:tcBorders>
              <w:top w:val="nil"/>
              <w:left w:val="single" w:sz="4" w:space="0" w:color="auto"/>
              <w:bottom w:val="single" w:sz="4" w:space="0" w:color="auto"/>
              <w:right w:val="single" w:sz="4" w:space="0" w:color="auto"/>
            </w:tcBorders>
            <w:noWrap/>
            <w:vAlign w:val="center"/>
          </w:tcPr>
          <w:p w14:paraId="511D9B1D"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38" w:type="pct"/>
            <w:tcBorders>
              <w:top w:val="nil"/>
              <w:left w:val="nil"/>
              <w:bottom w:val="single" w:sz="4" w:space="0" w:color="auto"/>
              <w:right w:val="single" w:sz="4" w:space="0" w:color="auto"/>
            </w:tcBorders>
            <w:noWrap/>
            <w:vAlign w:val="center"/>
          </w:tcPr>
          <w:p w14:paraId="5B6391FC"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4187" w:type="pct"/>
            <w:gridSpan w:val="7"/>
            <w:tcBorders>
              <w:top w:val="nil"/>
              <w:left w:val="nil"/>
              <w:bottom w:val="single" w:sz="4" w:space="0" w:color="auto"/>
              <w:right w:val="single" w:sz="4" w:space="0" w:color="auto"/>
            </w:tcBorders>
            <w:noWrap/>
            <w:vAlign w:val="center"/>
          </w:tcPr>
          <w:p w14:paraId="7B1A5871" w14:textId="77777777" w:rsidR="00530312" w:rsidRDefault="005170F5">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14:paraId="43AFF0EA" w14:textId="77777777" w:rsidR="00530312" w:rsidRDefault="00530312">
      <w:pPr>
        <w:adjustRightInd w:val="0"/>
        <w:spacing w:line="400" w:lineRule="exact"/>
        <w:rPr>
          <w:rFonts w:ascii="宋体" w:hAnsi="宋体"/>
          <w:b/>
          <w:bCs/>
          <w:sz w:val="28"/>
          <w:szCs w:val="28"/>
        </w:rPr>
      </w:pPr>
    </w:p>
    <w:tbl>
      <w:tblPr>
        <w:tblW w:w="5000" w:type="pct"/>
        <w:tblLook w:val="04A0" w:firstRow="1" w:lastRow="0" w:firstColumn="1" w:lastColumn="0" w:noHBand="0" w:noVBand="1"/>
      </w:tblPr>
      <w:tblGrid>
        <w:gridCol w:w="636"/>
        <w:gridCol w:w="1123"/>
        <w:gridCol w:w="1227"/>
        <w:gridCol w:w="1017"/>
        <w:gridCol w:w="1609"/>
        <w:gridCol w:w="1609"/>
        <w:gridCol w:w="913"/>
        <w:gridCol w:w="1144"/>
        <w:gridCol w:w="1142"/>
      </w:tblGrid>
      <w:tr w:rsidR="00530312" w14:paraId="48FB4F49" w14:textId="77777777">
        <w:trPr>
          <w:trHeight w:val="270"/>
        </w:trPr>
        <w:tc>
          <w:tcPr>
            <w:tcW w:w="5000" w:type="pct"/>
            <w:gridSpan w:val="9"/>
            <w:tcBorders>
              <w:top w:val="nil"/>
              <w:left w:val="nil"/>
              <w:bottom w:val="single" w:sz="4" w:space="0" w:color="auto"/>
              <w:right w:val="nil"/>
            </w:tcBorders>
            <w:noWrap/>
            <w:vAlign w:val="center"/>
          </w:tcPr>
          <w:p w14:paraId="240CBD3B" w14:textId="77777777" w:rsidR="00530312" w:rsidRDefault="005170F5">
            <w:pPr>
              <w:adjustRightInd w:val="0"/>
              <w:spacing w:line="400" w:lineRule="exact"/>
              <w:ind w:firstLineChars="200" w:firstLine="482"/>
              <w:jc w:val="left"/>
              <w:rPr>
                <w:rFonts w:ascii="宋体" w:hAnsi="宋体" w:cs="宋体"/>
                <w:color w:val="000000"/>
                <w:kern w:val="0"/>
                <w:sz w:val="22"/>
                <w:szCs w:val="22"/>
              </w:rPr>
            </w:pPr>
            <w:r>
              <w:rPr>
                <w:rFonts w:ascii="宋体" w:hAnsi="宋体" w:hint="eastAsia"/>
                <w:b/>
                <w:bCs/>
                <w:sz w:val="24"/>
              </w:rPr>
              <w:t>（二）技术文件格式</w:t>
            </w:r>
          </w:p>
        </w:tc>
      </w:tr>
      <w:tr w:rsidR="00530312" w14:paraId="698E0E99" w14:textId="77777777">
        <w:trPr>
          <w:trHeight w:val="270"/>
        </w:trPr>
        <w:tc>
          <w:tcPr>
            <w:tcW w:w="305" w:type="pct"/>
            <w:tcBorders>
              <w:top w:val="nil"/>
              <w:left w:val="single" w:sz="4" w:space="0" w:color="auto"/>
              <w:bottom w:val="single" w:sz="4" w:space="0" w:color="auto"/>
              <w:right w:val="single" w:sz="4" w:space="0" w:color="auto"/>
            </w:tcBorders>
            <w:vAlign w:val="center"/>
          </w:tcPr>
          <w:p w14:paraId="081507CD"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539" w:type="pct"/>
            <w:tcBorders>
              <w:top w:val="nil"/>
              <w:left w:val="nil"/>
              <w:bottom w:val="single" w:sz="4" w:space="0" w:color="auto"/>
              <w:right w:val="single" w:sz="4" w:space="0" w:color="auto"/>
            </w:tcBorders>
            <w:vAlign w:val="center"/>
          </w:tcPr>
          <w:p w14:paraId="137DC65F"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589" w:type="pct"/>
            <w:tcBorders>
              <w:top w:val="nil"/>
              <w:left w:val="nil"/>
              <w:bottom w:val="single" w:sz="4" w:space="0" w:color="auto"/>
              <w:right w:val="single" w:sz="4" w:space="0" w:color="auto"/>
            </w:tcBorders>
            <w:vAlign w:val="center"/>
          </w:tcPr>
          <w:p w14:paraId="456584BC"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488" w:type="pct"/>
            <w:tcBorders>
              <w:top w:val="nil"/>
              <w:left w:val="nil"/>
              <w:bottom w:val="single" w:sz="4" w:space="0" w:color="auto"/>
              <w:right w:val="single" w:sz="4" w:space="0" w:color="auto"/>
            </w:tcBorders>
            <w:vAlign w:val="center"/>
          </w:tcPr>
          <w:p w14:paraId="46A75BB5"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772" w:type="pct"/>
            <w:tcBorders>
              <w:top w:val="nil"/>
              <w:left w:val="nil"/>
              <w:bottom w:val="single" w:sz="4" w:space="0" w:color="auto"/>
              <w:right w:val="single" w:sz="4" w:space="0" w:color="auto"/>
            </w:tcBorders>
            <w:vAlign w:val="center"/>
          </w:tcPr>
          <w:p w14:paraId="7058E89E"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参考参数</w:t>
            </w:r>
          </w:p>
        </w:tc>
        <w:tc>
          <w:tcPr>
            <w:tcW w:w="772" w:type="pct"/>
            <w:tcBorders>
              <w:top w:val="nil"/>
              <w:left w:val="nil"/>
              <w:bottom w:val="single" w:sz="4" w:space="0" w:color="auto"/>
              <w:right w:val="single" w:sz="4" w:space="0" w:color="auto"/>
            </w:tcBorders>
            <w:vAlign w:val="center"/>
          </w:tcPr>
          <w:p w14:paraId="2E84E7AF"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438" w:type="pct"/>
            <w:tcBorders>
              <w:top w:val="nil"/>
              <w:left w:val="nil"/>
              <w:bottom w:val="single" w:sz="4" w:space="0" w:color="auto"/>
              <w:right w:val="single" w:sz="4" w:space="0" w:color="auto"/>
            </w:tcBorders>
            <w:vAlign w:val="center"/>
          </w:tcPr>
          <w:p w14:paraId="28EADA25"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549" w:type="pct"/>
            <w:tcBorders>
              <w:top w:val="nil"/>
              <w:left w:val="nil"/>
              <w:bottom w:val="single" w:sz="4" w:space="0" w:color="auto"/>
              <w:right w:val="single" w:sz="4" w:space="0" w:color="auto"/>
            </w:tcBorders>
            <w:vAlign w:val="center"/>
          </w:tcPr>
          <w:p w14:paraId="0E4FEFD5"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549" w:type="pct"/>
            <w:tcBorders>
              <w:top w:val="nil"/>
              <w:left w:val="nil"/>
              <w:bottom w:val="single" w:sz="4" w:space="0" w:color="auto"/>
              <w:right w:val="single" w:sz="4" w:space="0" w:color="auto"/>
            </w:tcBorders>
            <w:vAlign w:val="center"/>
          </w:tcPr>
          <w:p w14:paraId="37876207" w14:textId="77777777" w:rsidR="00530312" w:rsidRDefault="005170F5">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530312" w14:paraId="2354411C"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6E985409"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1C79EDD3"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400F082F"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3CDB4509"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11C8B27E"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91AE9B1"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314396B5"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4D3C7DDD"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052E1CC7"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30312" w14:paraId="0951F9E1"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3088D264"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0C43043F"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7B55CF13"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52D068CA"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0E58C6E2"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5514ECF"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5BC8D059"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1A230F1"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5D8F6A4D"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30312" w14:paraId="10E667E0" w14:textId="77777777">
        <w:trPr>
          <w:trHeight w:val="270"/>
        </w:trPr>
        <w:tc>
          <w:tcPr>
            <w:tcW w:w="305" w:type="pct"/>
            <w:tcBorders>
              <w:top w:val="nil"/>
              <w:left w:val="single" w:sz="4" w:space="0" w:color="auto"/>
              <w:bottom w:val="single" w:sz="4" w:space="0" w:color="auto"/>
              <w:right w:val="single" w:sz="4" w:space="0" w:color="auto"/>
            </w:tcBorders>
            <w:noWrap/>
            <w:vAlign w:val="center"/>
          </w:tcPr>
          <w:p w14:paraId="11E598F2"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39" w:type="pct"/>
            <w:tcBorders>
              <w:top w:val="nil"/>
              <w:left w:val="nil"/>
              <w:bottom w:val="single" w:sz="4" w:space="0" w:color="auto"/>
              <w:right w:val="single" w:sz="4" w:space="0" w:color="auto"/>
            </w:tcBorders>
            <w:noWrap/>
            <w:vAlign w:val="center"/>
          </w:tcPr>
          <w:p w14:paraId="4145E7B5"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89" w:type="pct"/>
            <w:tcBorders>
              <w:top w:val="nil"/>
              <w:left w:val="nil"/>
              <w:bottom w:val="single" w:sz="4" w:space="0" w:color="auto"/>
              <w:right w:val="single" w:sz="4" w:space="0" w:color="auto"/>
            </w:tcBorders>
            <w:noWrap/>
            <w:vAlign w:val="center"/>
          </w:tcPr>
          <w:p w14:paraId="036733C0"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88" w:type="pct"/>
            <w:tcBorders>
              <w:top w:val="nil"/>
              <w:left w:val="nil"/>
              <w:bottom w:val="single" w:sz="4" w:space="0" w:color="auto"/>
              <w:right w:val="single" w:sz="4" w:space="0" w:color="auto"/>
            </w:tcBorders>
            <w:noWrap/>
            <w:vAlign w:val="center"/>
          </w:tcPr>
          <w:p w14:paraId="1E8185A6"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21879C94"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72" w:type="pct"/>
            <w:tcBorders>
              <w:top w:val="nil"/>
              <w:left w:val="nil"/>
              <w:bottom w:val="single" w:sz="4" w:space="0" w:color="auto"/>
              <w:right w:val="single" w:sz="4" w:space="0" w:color="auto"/>
            </w:tcBorders>
            <w:noWrap/>
            <w:vAlign w:val="center"/>
          </w:tcPr>
          <w:p w14:paraId="679C88E9"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438" w:type="pct"/>
            <w:tcBorders>
              <w:top w:val="nil"/>
              <w:left w:val="nil"/>
              <w:bottom w:val="single" w:sz="4" w:space="0" w:color="auto"/>
              <w:right w:val="single" w:sz="4" w:space="0" w:color="auto"/>
            </w:tcBorders>
            <w:noWrap/>
            <w:vAlign w:val="center"/>
          </w:tcPr>
          <w:p w14:paraId="6D792DFC"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B4B84B1"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49" w:type="pct"/>
            <w:tcBorders>
              <w:top w:val="nil"/>
              <w:left w:val="nil"/>
              <w:bottom w:val="single" w:sz="4" w:space="0" w:color="auto"/>
              <w:right w:val="single" w:sz="4" w:space="0" w:color="auto"/>
            </w:tcBorders>
            <w:noWrap/>
            <w:vAlign w:val="center"/>
          </w:tcPr>
          <w:p w14:paraId="1E333876" w14:textId="77777777" w:rsidR="00530312" w:rsidRDefault="005170F5">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79448EC6" w14:textId="77777777" w:rsidR="00530312" w:rsidRDefault="005170F5">
      <w:pPr>
        <w:adjustRightInd w:val="0"/>
        <w:snapToGrid w:val="0"/>
        <w:spacing w:line="440" w:lineRule="exact"/>
        <w:ind w:firstLine="480"/>
        <w:rPr>
          <w:rFonts w:ascii="宋体" w:hAnsi="宋体"/>
          <w:b/>
          <w:bCs/>
          <w:sz w:val="28"/>
          <w:szCs w:val="28"/>
        </w:rPr>
      </w:pPr>
      <w:r>
        <w:rPr>
          <w:rFonts w:ascii="宋体" w:hAnsi="宋体" w:hint="eastAsia"/>
          <w:b/>
          <w:bCs/>
          <w:sz w:val="24"/>
        </w:rPr>
        <w:t>竞</w:t>
      </w:r>
      <w:proofErr w:type="gramStart"/>
      <w:r>
        <w:rPr>
          <w:rFonts w:ascii="宋体" w:hAnsi="宋体" w:hint="eastAsia"/>
          <w:b/>
          <w:bCs/>
          <w:sz w:val="24"/>
        </w:rPr>
        <w:t>谈文件</w:t>
      </w:r>
      <w:proofErr w:type="gramEnd"/>
      <w:r>
        <w:rPr>
          <w:rFonts w:ascii="宋体" w:hAnsi="宋体" w:hint="eastAsia"/>
          <w:b/>
          <w:bCs/>
          <w:sz w:val="24"/>
        </w:rPr>
        <w:t>要求：</w:t>
      </w:r>
    </w:p>
    <w:p w14:paraId="66EE58D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1.所有报价均以人民币最终报价，含设备及安装调试费、运费、清洁费、退换货费、税费、售后服务等全部费用。报价文件中须提供详细报价清单并提供安装调试时间，并满足项目建设方案技术要求。</w:t>
      </w:r>
    </w:p>
    <w:p w14:paraId="51EE00A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2.竞价人须在竞价文件中单独提供一份切实可行的售后服务承诺书，明确质保期内、外的服务条款，</w:t>
      </w:r>
      <w:r w:rsidRPr="007636A2">
        <w:rPr>
          <w:rFonts w:ascii="宋体" w:hAnsi="宋体" w:hint="eastAsia"/>
          <w:color w:val="000000"/>
          <w:sz w:val="24"/>
        </w:rPr>
        <w:t>并明确质保期到期后的服务费用。</w:t>
      </w:r>
    </w:p>
    <w:p w14:paraId="2D29A64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 竞价人在竞</w:t>
      </w:r>
      <w:proofErr w:type="gramStart"/>
      <w:r>
        <w:rPr>
          <w:rFonts w:ascii="宋体" w:hAnsi="宋体" w:hint="eastAsia"/>
          <w:color w:val="000000"/>
          <w:sz w:val="24"/>
        </w:rPr>
        <w:t>谈文件</w:t>
      </w:r>
      <w:proofErr w:type="gramEnd"/>
      <w:r>
        <w:rPr>
          <w:rFonts w:ascii="宋体" w:hAnsi="宋体" w:hint="eastAsia"/>
          <w:color w:val="000000"/>
          <w:sz w:val="24"/>
        </w:rPr>
        <w:t>中需提供企业现行合法有效的营业执照（或营业执照公证件）复印件（盖公章）以及售后服务承诺等相关证明。</w:t>
      </w:r>
    </w:p>
    <w:p w14:paraId="2A53A11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4.如竞</w:t>
      </w:r>
      <w:proofErr w:type="gramStart"/>
      <w:r>
        <w:rPr>
          <w:rFonts w:ascii="宋体" w:hAnsi="宋体" w:hint="eastAsia"/>
          <w:color w:val="000000"/>
          <w:sz w:val="24"/>
        </w:rPr>
        <w:t>谈单位</w:t>
      </w:r>
      <w:proofErr w:type="gramEnd"/>
      <w:r>
        <w:rPr>
          <w:rFonts w:ascii="宋体" w:hAnsi="宋体" w:hint="eastAsia"/>
          <w:color w:val="000000"/>
          <w:sz w:val="24"/>
        </w:rPr>
        <w:t>法定代表人未能到现场参与，委托单位其他人员参与竞谈的，需提供法定代表人授权委托书。</w:t>
      </w:r>
    </w:p>
    <w:p w14:paraId="3349C59B"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5.标书中报价文件须含详细设备清单报价，技术文件有详细清单、技术参数和建设方案等。</w:t>
      </w:r>
    </w:p>
    <w:p w14:paraId="7DA93681" w14:textId="77777777" w:rsidR="00530312" w:rsidRDefault="005170F5">
      <w:pPr>
        <w:spacing w:line="440" w:lineRule="exact"/>
        <w:ind w:firstLineChars="200" w:firstLine="562"/>
        <w:rPr>
          <w:rFonts w:ascii="方正黑体_GBK" w:eastAsia="方正黑体_GBK" w:hAnsi="宋体"/>
          <w:b/>
          <w:bCs/>
          <w:sz w:val="28"/>
          <w:szCs w:val="28"/>
        </w:rPr>
      </w:pPr>
      <w:bookmarkStart w:id="1" w:name="OLE_LINK2"/>
      <w:r>
        <w:rPr>
          <w:rFonts w:ascii="方正黑体_GBK" w:eastAsia="方正黑体_GBK" w:hAnsi="宋体" w:hint="eastAsia"/>
          <w:b/>
          <w:bCs/>
          <w:sz w:val="28"/>
          <w:szCs w:val="28"/>
        </w:rPr>
        <w:t>六、交货、验收及付款</w:t>
      </w:r>
    </w:p>
    <w:p w14:paraId="26CEF998" w14:textId="77777777" w:rsidR="00530312" w:rsidRDefault="005170F5">
      <w:pPr>
        <w:spacing w:line="440" w:lineRule="exact"/>
        <w:ind w:firstLineChars="200" w:firstLine="480"/>
        <w:rPr>
          <w:rFonts w:ascii="宋体" w:hAnsi="宋体"/>
          <w:sz w:val="24"/>
        </w:rPr>
      </w:pPr>
      <w:bookmarkStart w:id="2" w:name="OLE_LINK1"/>
      <w:r>
        <w:rPr>
          <w:rFonts w:ascii="宋体" w:hAnsi="宋体" w:hint="eastAsia"/>
          <w:sz w:val="24"/>
        </w:rPr>
        <w:t>中标单位应于中标</w:t>
      </w:r>
      <w:r w:rsidRPr="00D30F17">
        <w:rPr>
          <w:rFonts w:ascii="宋体" w:hAnsi="宋体" w:hint="eastAsia"/>
          <w:sz w:val="24"/>
        </w:rPr>
        <w:t>日起按进度要求完安装</w:t>
      </w:r>
      <w:r>
        <w:rPr>
          <w:rFonts w:ascii="宋体" w:hAnsi="宋体" w:hint="eastAsia"/>
          <w:sz w:val="24"/>
        </w:rPr>
        <w:t>及调试，未按期交付使用，又未向采购人提出书面申请说明，视为违约，不支付款项，也不退还其保证金。项目完工后由竞价人向采购人提交验收申请，经采购人验收合格后</w:t>
      </w:r>
      <w:proofErr w:type="gramStart"/>
      <w:r>
        <w:rPr>
          <w:rFonts w:ascii="宋体" w:hAnsi="宋体" w:hint="eastAsia"/>
          <w:sz w:val="24"/>
        </w:rPr>
        <w:t>付合同</w:t>
      </w:r>
      <w:proofErr w:type="gramEnd"/>
      <w:r>
        <w:rPr>
          <w:rFonts w:ascii="宋体" w:hAnsi="宋体" w:hint="eastAsia"/>
          <w:sz w:val="24"/>
        </w:rPr>
        <w:t>总金额的95%，余5%作为质保金，质保期满付款，详细付款条款以合同约定为准。</w:t>
      </w:r>
    </w:p>
    <w:bookmarkEnd w:id="1"/>
    <w:bookmarkEnd w:id="2"/>
    <w:p w14:paraId="37D6F464"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七、谈判有关说明：</w:t>
      </w:r>
    </w:p>
    <w:p w14:paraId="31B7DB35"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1.谈判地点：图书馆</w:t>
      </w:r>
      <w:proofErr w:type="spellStart"/>
      <w:r>
        <w:rPr>
          <w:rFonts w:ascii="宋体" w:hAnsi="宋体" w:hint="eastAsia"/>
          <w:color w:val="000000"/>
          <w:sz w:val="24"/>
        </w:rPr>
        <w:t>B501</w:t>
      </w:r>
      <w:proofErr w:type="spellEnd"/>
      <w:r>
        <w:rPr>
          <w:rFonts w:ascii="宋体" w:hAnsi="宋体" w:hint="eastAsia"/>
          <w:color w:val="000000"/>
          <w:sz w:val="24"/>
        </w:rPr>
        <w:t>会议室</w:t>
      </w:r>
    </w:p>
    <w:p w14:paraId="3D7D6791" w14:textId="1F36CB24"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2.谈判时间：2025年</w:t>
      </w:r>
      <w:r w:rsidR="0095450E">
        <w:rPr>
          <w:rFonts w:ascii="宋体" w:hAnsi="宋体" w:hint="eastAsia"/>
          <w:color w:val="000000"/>
          <w:sz w:val="24"/>
        </w:rPr>
        <w:t>7</w:t>
      </w:r>
      <w:r>
        <w:rPr>
          <w:rFonts w:ascii="宋体" w:hAnsi="宋体" w:hint="eastAsia"/>
          <w:color w:val="000000"/>
          <w:sz w:val="24"/>
        </w:rPr>
        <w:t>月</w:t>
      </w:r>
      <w:r w:rsidR="0095450E">
        <w:rPr>
          <w:rFonts w:ascii="宋体" w:hAnsi="宋体" w:hint="eastAsia"/>
          <w:color w:val="000000"/>
          <w:sz w:val="24"/>
        </w:rPr>
        <w:t>3</w:t>
      </w:r>
      <w:r>
        <w:rPr>
          <w:rFonts w:ascii="宋体" w:hAnsi="宋体" w:hint="eastAsia"/>
          <w:color w:val="000000"/>
          <w:sz w:val="24"/>
        </w:rPr>
        <w:t>日</w:t>
      </w:r>
      <w:r w:rsidR="0095450E">
        <w:rPr>
          <w:rFonts w:ascii="宋体" w:hAnsi="宋体" w:hint="eastAsia"/>
          <w:color w:val="000000"/>
          <w:sz w:val="24"/>
        </w:rPr>
        <w:t>上午9:00</w:t>
      </w:r>
      <w:bookmarkStart w:id="3" w:name="_GoBack"/>
      <w:bookmarkEnd w:id="3"/>
      <w:r w:rsidR="00AB108E">
        <w:rPr>
          <w:rFonts w:ascii="宋体" w:hAnsi="宋体" w:hint="eastAsia"/>
          <w:color w:val="000000"/>
          <w:sz w:val="24"/>
        </w:rPr>
        <w:t xml:space="preserve"> </w:t>
      </w:r>
      <w:r>
        <w:rPr>
          <w:rFonts w:ascii="宋体" w:hAnsi="宋体" w:hint="eastAsia"/>
          <w:color w:val="000000"/>
          <w:sz w:val="24"/>
        </w:rPr>
        <w:t>，提前半小时到场签到。</w:t>
      </w:r>
    </w:p>
    <w:p w14:paraId="09C845F7"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3.有关规定：超过谈判截止时间、不密封的谈判文件或不按《谈判文件》规定提交相关资质的谈判，恕不接受。</w:t>
      </w:r>
    </w:p>
    <w:p w14:paraId="49D63324" w14:textId="77777777" w:rsidR="00530312" w:rsidRDefault="005170F5">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八、联系人及联系方式：</w:t>
      </w:r>
    </w:p>
    <w:p w14:paraId="65E72644"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联系人：欧阳老师，联系电话：023-49633929 18723086094</w:t>
      </w:r>
    </w:p>
    <w:p w14:paraId="3C634762"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九、一切与谈判有关的费用，均由竞价人自理。</w:t>
      </w:r>
    </w:p>
    <w:p w14:paraId="49BE5AD6"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14:paraId="026D2772"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14:paraId="331700E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开户行：中国工商银行股份有限公司重庆永川支行             </w:t>
      </w:r>
    </w:p>
    <w:p w14:paraId="00E4DBE2" w14:textId="77777777" w:rsidR="00530312" w:rsidRDefault="005170F5">
      <w:pPr>
        <w:adjustRightInd w:val="0"/>
        <w:snapToGrid w:val="0"/>
        <w:spacing w:line="440" w:lineRule="exact"/>
        <w:ind w:firstLineChars="150" w:firstLine="360"/>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号：3100090009264104857</w:t>
      </w:r>
    </w:p>
    <w:p w14:paraId="7CA11A4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14:paraId="691A9EE6"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14:paraId="5F2904FC"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14:paraId="64E39194"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14:paraId="685C611A"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14:paraId="5269CFDA"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14:paraId="2E41D56E" w14:textId="77777777" w:rsidR="00530312" w:rsidRDefault="00530312">
      <w:pPr>
        <w:adjustRightInd w:val="0"/>
        <w:snapToGrid w:val="0"/>
        <w:spacing w:line="440" w:lineRule="exact"/>
        <w:ind w:firstLineChars="150" w:firstLine="360"/>
        <w:rPr>
          <w:rFonts w:ascii="宋体" w:hAnsi="宋体"/>
          <w:color w:val="000000"/>
          <w:sz w:val="24"/>
        </w:rPr>
      </w:pPr>
    </w:p>
    <w:p w14:paraId="050E8D50" w14:textId="77777777" w:rsidR="00530312" w:rsidRDefault="005170F5">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14:paraId="7D27A108" w14:textId="77777777" w:rsidR="00530312" w:rsidRDefault="005170F5">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14:paraId="11FAF02F" w14:textId="77777777" w:rsidR="00530312" w:rsidRDefault="005170F5">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14:paraId="548CA5A6" w14:textId="77777777" w:rsidR="00530312" w:rsidRDefault="005170F5">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14:paraId="32B30E78" w14:textId="77777777" w:rsidR="00530312" w:rsidRDefault="005170F5">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14:paraId="2D0BF022" w14:textId="77777777" w:rsidR="00530312" w:rsidRDefault="00530312">
      <w:pPr>
        <w:widowControl/>
        <w:adjustRightInd w:val="0"/>
        <w:snapToGrid w:val="0"/>
        <w:spacing w:line="440" w:lineRule="exact"/>
        <w:ind w:firstLineChars="202" w:firstLine="487"/>
        <w:jc w:val="left"/>
        <w:rPr>
          <w:rFonts w:ascii="宋体" w:hAnsi="宋体"/>
          <w:b/>
          <w:sz w:val="24"/>
        </w:rPr>
      </w:pPr>
    </w:p>
    <w:p w14:paraId="65865A18" w14:textId="77777777" w:rsidR="00530312" w:rsidRDefault="005170F5">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14:paraId="023AFB94" w14:textId="77777777" w:rsidR="00530312" w:rsidRDefault="005170F5" w:rsidP="00D25BAA">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14:paraId="76F29ED0" w14:textId="77777777" w:rsidR="00530312" w:rsidRDefault="005170F5">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14:paraId="3CEF84A5" w14:textId="77777777" w:rsidR="00530312" w:rsidRDefault="005170F5">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14:paraId="5CC9D819" w14:textId="77777777" w:rsidR="00530312" w:rsidRDefault="005170F5">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（三）乙方承诺本合同销售产品（设备）单价不高于</w:t>
      </w:r>
      <w:bookmarkStart w:id="4" w:name="_Hlk15208814"/>
      <w:r>
        <w:rPr>
          <w:rFonts w:ascii="宋体" w:hAnsi="宋体" w:hint="eastAsia"/>
          <w:color w:val="000000"/>
          <w:sz w:val="24"/>
        </w:rPr>
        <w:t>乙方销售给第三人的价格或市场平均价格</w:t>
      </w:r>
      <w:bookmarkEnd w:id="4"/>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14:paraId="14B15D5A" w14:textId="77777777" w:rsidR="00530312" w:rsidRDefault="005170F5">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14:paraId="4933E62B" w14:textId="77777777" w:rsidR="00530312" w:rsidRDefault="005170F5" w:rsidP="00D25BAA">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w:t>
      </w:r>
      <w:proofErr w:type="gramStart"/>
      <w:r>
        <w:rPr>
          <w:rFonts w:hint="eastAsia"/>
          <w:color w:val="000000"/>
          <w:sz w:val="24"/>
          <w:szCs w:val="24"/>
        </w:rPr>
        <w:t>签定</w:t>
      </w:r>
      <w:proofErr w:type="gramEnd"/>
      <w:r>
        <w:rPr>
          <w:rFonts w:hint="eastAsia"/>
          <w:color w:val="000000"/>
          <w:sz w:val="24"/>
          <w:szCs w:val="24"/>
        </w:rPr>
        <w:t>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w:t>
      </w:r>
      <w:r>
        <w:rPr>
          <w:rFonts w:hint="eastAsia"/>
          <w:color w:val="000000"/>
          <w:sz w:val="24"/>
          <w:szCs w:val="24"/>
        </w:rPr>
        <w:lastRenderedPageBreak/>
        <w:t>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14:paraId="50CDCE83" w14:textId="77777777" w:rsidR="00530312" w:rsidRDefault="005170F5">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14:paraId="5610818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14:paraId="0EBFF881" w14:textId="77777777" w:rsidR="00530312" w:rsidRDefault="005170F5" w:rsidP="00D25BAA">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14:paraId="7021E25F" w14:textId="77777777" w:rsidR="00530312" w:rsidRDefault="005170F5">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14:paraId="2791E030" w14:textId="77777777" w:rsidR="00530312" w:rsidRDefault="005170F5" w:rsidP="00D25BAA">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14:paraId="7E825DA1" w14:textId="77777777" w:rsidR="00530312" w:rsidRDefault="005170F5" w:rsidP="00D25BAA">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w:t>
      </w:r>
      <w:proofErr w:type="gramStart"/>
      <w:r>
        <w:rPr>
          <w:rFonts w:hint="eastAsia"/>
          <w:color w:val="000000"/>
          <w:sz w:val="24"/>
          <w:szCs w:val="24"/>
        </w:rPr>
        <w:t>作出</w:t>
      </w:r>
      <w:proofErr w:type="gramEnd"/>
      <w:r>
        <w:rPr>
          <w:rFonts w:hint="eastAsia"/>
          <w:color w:val="000000"/>
          <w:sz w:val="24"/>
          <w:szCs w:val="24"/>
        </w:rPr>
        <w:t>售后服务承诺，并在</w:t>
      </w:r>
      <w:r>
        <w:rPr>
          <w:color w:val="000000"/>
          <w:sz w:val="24"/>
          <w:szCs w:val="24"/>
        </w:rPr>
        <w:t>24</w:t>
      </w:r>
      <w:r>
        <w:rPr>
          <w:rFonts w:hint="eastAsia"/>
          <w:color w:val="000000"/>
          <w:sz w:val="24"/>
          <w:szCs w:val="24"/>
        </w:rPr>
        <w:t>小时内上门服务。</w:t>
      </w:r>
    </w:p>
    <w:p w14:paraId="64F6122B" w14:textId="77777777" w:rsidR="00530312" w:rsidRDefault="005170F5">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14:paraId="11FF0169" w14:textId="77777777" w:rsidR="00530312" w:rsidRDefault="005170F5">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14:paraId="77B96329" w14:textId="77777777" w:rsidR="00530312" w:rsidRDefault="00530312">
      <w:pPr>
        <w:autoSpaceDE w:val="0"/>
        <w:autoSpaceDN w:val="0"/>
        <w:adjustRightInd w:val="0"/>
        <w:spacing w:line="440" w:lineRule="exact"/>
        <w:rPr>
          <w:rFonts w:ascii="宋体"/>
          <w:color w:val="000000"/>
          <w:sz w:val="28"/>
          <w:szCs w:val="28"/>
          <w:lang w:val="zh-CN"/>
        </w:rPr>
      </w:pPr>
    </w:p>
    <w:p w14:paraId="3AF5C40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14:paraId="0DDDC332"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14:paraId="161D3C69"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w:t>
      </w:r>
      <w:proofErr w:type="gramStart"/>
      <w:r>
        <w:rPr>
          <w:rFonts w:ascii="宋体" w:hAnsi="宋体" w:hint="eastAsia"/>
          <w:color w:val="000000"/>
          <w:sz w:val="24"/>
        </w:rPr>
        <w:t>人兹同意</w:t>
      </w:r>
      <w:proofErr w:type="gramEnd"/>
      <w:r>
        <w:rPr>
          <w:rFonts w:ascii="宋体" w:hAnsi="宋体" w:hint="eastAsia"/>
          <w:color w:val="000000"/>
          <w:sz w:val="24"/>
        </w:rPr>
        <w:t>如下：</w:t>
      </w:r>
    </w:p>
    <w:p w14:paraId="6981CD8A"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14:paraId="2909846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14:paraId="3834023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14:paraId="6E18CC46"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14:paraId="7F8D312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14:paraId="223180B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14:paraId="60A925B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14:paraId="0CBFF84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 xml:space="preserve">传   真：                       </w:t>
      </w:r>
    </w:p>
    <w:p w14:paraId="0423A8C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14:paraId="476686F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14:paraId="68EB1336"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14:paraId="58C4B926"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14:paraId="344182BC" w14:textId="77777777" w:rsidR="00530312" w:rsidRDefault="00530312">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14:paraId="252D1081" w14:textId="77777777" w:rsidR="00530312" w:rsidRDefault="005170F5">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14:paraId="69270BB0" w14:textId="77777777" w:rsidR="00530312" w:rsidRDefault="00530312">
      <w:pPr>
        <w:pStyle w:val="a5"/>
        <w:adjustRightInd w:val="0"/>
        <w:snapToGrid w:val="0"/>
        <w:spacing w:line="440" w:lineRule="exact"/>
        <w:jc w:val="center"/>
        <w:rPr>
          <w:rFonts w:hAnsi="宋体"/>
          <w:b/>
          <w:sz w:val="28"/>
          <w:szCs w:val="28"/>
        </w:rPr>
      </w:pPr>
    </w:p>
    <w:p w14:paraId="67A72931" w14:textId="77777777" w:rsidR="00530312" w:rsidRDefault="005170F5">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14:paraId="2062018D" w14:textId="77777777" w:rsidR="00530312" w:rsidRDefault="00530312">
      <w:pPr>
        <w:pStyle w:val="a5"/>
        <w:adjustRightInd w:val="0"/>
        <w:snapToGrid w:val="0"/>
        <w:spacing w:line="440" w:lineRule="exact"/>
        <w:jc w:val="center"/>
        <w:rPr>
          <w:rFonts w:hAnsi="宋体"/>
          <w:b/>
          <w:sz w:val="28"/>
          <w:szCs w:val="28"/>
        </w:rPr>
      </w:pPr>
    </w:p>
    <w:p w14:paraId="51598C07"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14:paraId="2823FAF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14:paraId="1881925A" w14:textId="77777777" w:rsidR="00530312" w:rsidRDefault="00530312">
      <w:pPr>
        <w:adjustRightInd w:val="0"/>
        <w:snapToGrid w:val="0"/>
        <w:spacing w:line="440" w:lineRule="exact"/>
        <w:ind w:firstLineChars="150" w:firstLine="360"/>
        <w:rPr>
          <w:rFonts w:ascii="宋体" w:hAnsi="宋体"/>
          <w:color w:val="000000"/>
          <w:sz w:val="24"/>
        </w:rPr>
      </w:pPr>
    </w:p>
    <w:p w14:paraId="49C63D10"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14:paraId="3B6E0F58"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14:paraId="11252867"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14:paraId="0A16EDFF"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14:paraId="2D38E463"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14:paraId="61B80322" w14:textId="77777777" w:rsidR="00530312" w:rsidRDefault="00530312">
      <w:pPr>
        <w:adjustRightInd w:val="0"/>
        <w:snapToGrid w:val="0"/>
        <w:spacing w:line="440" w:lineRule="exact"/>
        <w:ind w:firstLineChars="150" w:firstLine="360"/>
        <w:rPr>
          <w:rFonts w:ascii="宋体" w:hAnsi="宋体"/>
          <w:color w:val="000000"/>
          <w:sz w:val="24"/>
        </w:rPr>
      </w:pPr>
    </w:p>
    <w:p w14:paraId="5A8403AD"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14:paraId="75C96DF6" w14:textId="77777777" w:rsidR="00530312" w:rsidRDefault="00530312">
      <w:pPr>
        <w:adjustRightInd w:val="0"/>
        <w:snapToGrid w:val="0"/>
        <w:spacing w:line="440" w:lineRule="exact"/>
        <w:ind w:firstLineChars="150" w:firstLine="360"/>
        <w:rPr>
          <w:rFonts w:ascii="宋体" w:hAnsi="宋体"/>
          <w:color w:val="000000"/>
          <w:sz w:val="24"/>
        </w:rPr>
      </w:pPr>
    </w:p>
    <w:p w14:paraId="301C33BB" w14:textId="77777777" w:rsidR="00530312" w:rsidRDefault="005170F5">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530312">
      <w:headerReference w:type="default" r:id="rId8"/>
      <w:footerReference w:type="even" r:id="rId9"/>
      <w:footerReference w:type="default" r:id="rId10"/>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3B264" w14:textId="77777777" w:rsidR="005706FE" w:rsidRDefault="005706FE">
      <w:r>
        <w:separator/>
      </w:r>
    </w:p>
  </w:endnote>
  <w:endnote w:type="continuationSeparator" w:id="0">
    <w:p w14:paraId="112A3C92" w14:textId="77777777" w:rsidR="005706FE" w:rsidRDefault="005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iti SC Medium">
    <w:altName w:val="宋体"/>
    <w:charset w:val="86"/>
    <w:family w:val="auto"/>
    <w:pitch w:val="default"/>
    <w:sig w:usb0="00000000" w:usb1="00000000" w:usb2="00000000" w:usb3="00000000" w:csb0="203E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embedRegular r:id="rId1" w:subsetted="1" w:fontKey="{5BF99D2B-B5E3-4B9F-B270-BE11F99AD275}"/>
  </w:font>
  <w:font w:name="方正小标宋_GBK">
    <w:panose1 w:val="03000509000000000000"/>
    <w:charset w:val="86"/>
    <w:family w:val="script"/>
    <w:pitch w:val="fixed"/>
    <w:sig w:usb0="00000001" w:usb1="080E0000" w:usb2="00000010" w:usb3="00000000" w:csb0="00040000" w:csb1="00000000"/>
    <w:embedBold r:id="rId2" w:subsetted="1" w:fontKey="{996A4271-E87F-4E87-AF2A-22AABDE410BE}"/>
  </w:font>
  <w:font w:name="华文仿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embedBold r:id="rId3" w:subsetted="1" w:fontKey="{B9C17253-0988-4A41-A833-A86CDCEAF68C}"/>
  </w:font>
  <w:font w:name="黑体">
    <w:altName w:val="SimHei"/>
    <w:panose1 w:val="02010609060101010101"/>
    <w:charset w:val="86"/>
    <w:family w:val="modern"/>
    <w:pitch w:val="fixed"/>
    <w:sig w:usb0="800002BF" w:usb1="38CF7CFA" w:usb2="00000016" w:usb3="00000000" w:csb0="00040001" w:csb1="00000000"/>
    <w:embedRegular r:id="rId4" w:subsetted="1" w:fontKey="{95BFCCEB-F8B9-42DD-8582-7251EF176CBA}"/>
    <w:embedBold r:id="rId5" w:subsetted="1" w:fontKey="{D5890CE2-177F-4003-8E73-A1D280604A32}"/>
  </w:font>
  <w:font w:name="微软雅黑">
    <w:panose1 w:val="020B0503020204020204"/>
    <w:charset w:val="86"/>
    <w:family w:val="swiss"/>
    <w:pitch w:val="variable"/>
    <w:sig w:usb0="80000287" w:usb1="2ACF3C50" w:usb2="00000016" w:usb3="00000000" w:csb0="0004001F" w:csb1="00000000"/>
    <w:embedRegular r:id="rId6" w:subsetted="1" w:fontKey="{47EE5CA2-D51B-4759-A53F-BD2FB779333E}"/>
    <w:embedBold r:id="rId7" w:subsetted="1" w:fontKey="{B7E5C124-1D8E-4F48-B986-7FA2F70A281F}"/>
  </w:font>
  <w:font w:name="仿宋">
    <w:panose1 w:val="02010609060101010101"/>
    <w:charset w:val="86"/>
    <w:family w:val="modern"/>
    <w:pitch w:val="fixed"/>
    <w:sig w:usb0="800002BF" w:usb1="38CF7CFA" w:usb2="00000016" w:usb3="00000000" w:csb0="00040001" w:csb1="00000000"/>
    <w:embedBold r:id="rId8" w:subsetted="1" w:fontKey="{2DE251AE-E190-4F92-A3C5-926539DC67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59A9" w14:textId="77777777" w:rsidR="00530312" w:rsidRDefault="005170F5">
    <w:pPr>
      <w:pStyle w:val="a8"/>
      <w:framePr w:wrap="around" w:vAnchor="text" w:hAnchor="margin" w:xAlign="center" w:y="1"/>
      <w:rPr>
        <w:rStyle w:val="af0"/>
      </w:rPr>
    </w:pPr>
    <w:r>
      <w:fldChar w:fldCharType="begin"/>
    </w:r>
    <w:r>
      <w:rPr>
        <w:rStyle w:val="af0"/>
      </w:rPr>
      <w:instrText xml:space="preserve">PAGE  </w:instrText>
    </w:r>
    <w:r>
      <w:fldChar w:fldCharType="end"/>
    </w:r>
  </w:p>
  <w:p w14:paraId="7A95C5E4" w14:textId="77777777" w:rsidR="00530312" w:rsidRDefault="005303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DEC0" w14:textId="77777777" w:rsidR="00530312" w:rsidRDefault="005170F5">
    <w:pPr>
      <w:pStyle w:val="a8"/>
      <w:jc w:val="center"/>
    </w:pPr>
    <w:r>
      <w:fldChar w:fldCharType="begin"/>
    </w:r>
    <w:r>
      <w:instrText xml:space="preserve"> PAGE   \* MERGEFORMAT </w:instrText>
    </w:r>
    <w:r>
      <w:fldChar w:fldCharType="separate"/>
    </w:r>
    <w:r w:rsidR="0095450E" w:rsidRPr="0095450E">
      <w:rPr>
        <w:noProof/>
        <w:lang w:val="zh-CN"/>
      </w:rPr>
      <w:t>30</w:t>
    </w:r>
    <w:r>
      <w:fldChar w:fldCharType="end"/>
    </w:r>
  </w:p>
  <w:p w14:paraId="59189C0A" w14:textId="77777777" w:rsidR="00530312" w:rsidRDefault="005303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AA090" w14:textId="77777777" w:rsidR="005706FE" w:rsidRDefault="005706FE">
      <w:r>
        <w:separator/>
      </w:r>
    </w:p>
  </w:footnote>
  <w:footnote w:type="continuationSeparator" w:id="0">
    <w:p w14:paraId="2915CDFF" w14:textId="77777777" w:rsidR="005706FE" w:rsidRDefault="00570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08E5E" w14:textId="77777777" w:rsidR="00530312" w:rsidRDefault="00530312">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7F154"/>
    <w:multiLevelType w:val="multilevel"/>
    <w:tmpl w:val="FFF7F154"/>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pStyle w:val="3"/>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ascii="宋体" w:eastAsia="宋体" w:hAnsi="宋体" w:cs="宋体" w:hint="default"/>
      </w:rPr>
    </w:lvl>
    <w:lvl w:ilvl="5">
      <w:start w:val="1"/>
      <w:numFmt w:val="decimal"/>
      <w:lvlText w:val="%1.%2.%3.%4.%5.%6."/>
      <w:lvlJc w:val="left"/>
      <w:pPr>
        <w:ind w:left="1134" w:hanging="1134"/>
      </w:pPr>
      <w:rPr>
        <w:rFonts w:ascii="宋体" w:eastAsia="宋体" w:hAnsi="宋体" w:cs="宋体" w:hint="default"/>
      </w:rPr>
    </w:lvl>
    <w:lvl w:ilvl="6">
      <w:start w:val="1"/>
      <w:numFmt w:val="decimal"/>
      <w:lvlText w:val="%1.%2.%3.%4.%5.%6.%7."/>
      <w:lvlJc w:val="left"/>
      <w:pPr>
        <w:ind w:left="1275" w:hanging="1275"/>
      </w:pPr>
      <w:rPr>
        <w:rFonts w:ascii="宋体" w:eastAsia="宋体" w:hAnsi="宋体" w:cs="宋体"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ZmNmYTU4MzVkNzYwMmY1M2E4ZTk2ODA2NTFiYzgifQ=="/>
  </w:docVars>
  <w:rsids>
    <w:rsidRoot w:val="005D16A9"/>
    <w:rsid w:val="00000BA1"/>
    <w:rsid w:val="00000FDD"/>
    <w:rsid w:val="0000235C"/>
    <w:rsid w:val="00002CD2"/>
    <w:rsid w:val="0000306E"/>
    <w:rsid w:val="000032FE"/>
    <w:rsid w:val="00003F38"/>
    <w:rsid w:val="00004F7E"/>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0AD9"/>
    <w:rsid w:val="000215D5"/>
    <w:rsid w:val="000238B9"/>
    <w:rsid w:val="0002434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3D25"/>
    <w:rsid w:val="000842AE"/>
    <w:rsid w:val="0008454D"/>
    <w:rsid w:val="00085409"/>
    <w:rsid w:val="00085BC7"/>
    <w:rsid w:val="0008679B"/>
    <w:rsid w:val="000867EB"/>
    <w:rsid w:val="00087D6D"/>
    <w:rsid w:val="00090CD5"/>
    <w:rsid w:val="00092468"/>
    <w:rsid w:val="000939FE"/>
    <w:rsid w:val="000954BC"/>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B0BB3"/>
    <w:rsid w:val="000B3A39"/>
    <w:rsid w:val="000B42EF"/>
    <w:rsid w:val="000B5294"/>
    <w:rsid w:val="000B5C27"/>
    <w:rsid w:val="000B6758"/>
    <w:rsid w:val="000B7149"/>
    <w:rsid w:val="000B776F"/>
    <w:rsid w:val="000C0A23"/>
    <w:rsid w:val="000C0CAB"/>
    <w:rsid w:val="000C1311"/>
    <w:rsid w:val="000C18DC"/>
    <w:rsid w:val="000C1BE6"/>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F08FE"/>
    <w:rsid w:val="000F0B01"/>
    <w:rsid w:val="000F1C12"/>
    <w:rsid w:val="000F1EA2"/>
    <w:rsid w:val="000F3866"/>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EF0"/>
    <w:rsid w:val="00123FC2"/>
    <w:rsid w:val="00124C3C"/>
    <w:rsid w:val="001261B2"/>
    <w:rsid w:val="00126698"/>
    <w:rsid w:val="00126BBD"/>
    <w:rsid w:val="00130D25"/>
    <w:rsid w:val="00131068"/>
    <w:rsid w:val="00131740"/>
    <w:rsid w:val="001325B1"/>
    <w:rsid w:val="001330E2"/>
    <w:rsid w:val="00133318"/>
    <w:rsid w:val="0013374E"/>
    <w:rsid w:val="001356A3"/>
    <w:rsid w:val="001373FF"/>
    <w:rsid w:val="0014057F"/>
    <w:rsid w:val="00140B3B"/>
    <w:rsid w:val="00141883"/>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770F9"/>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4A0A"/>
    <w:rsid w:val="00197814"/>
    <w:rsid w:val="001978BC"/>
    <w:rsid w:val="001A05F6"/>
    <w:rsid w:val="001A0A73"/>
    <w:rsid w:val="001A3DBD"/>
    <w:rsid w:val="001A4852"/>
    <w:rsid w:val="001A4E70"/>
    <w:rsid w:val="001A4EB3"/>
    <w:rsid w:val="001A510D"/>
    <w:rsid w:val="001A59CB"/>
    <w:rsid w:val="001A601A"/>
    <w:rsid w:val="001A6748"/>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17B4"/>
    <w:rsid w:val="001C1C9C"/>
    <w:rsid w:val="001C1FD0"/>
    <w:rsid w:val="001C20B2"/>
    <w:rsid w:val="001C2755"/>
    <w:rsid w:val="001C2D16"/>
    <w:rsid w:val="001C3AC3"/>
    <w:rsid w:val="001C42F2"/>
    <w:rsid w:val="001C43F5"/>
    <w:rsid w:val="001C6076"/>
    <w:rsid w:val="001C6132"/>
    <w:rsid w:val="001C6852"/>
    <w:rsid w:val="001C71A4"/>
    <w:rsid w:val="001C71C1"/>
    <w:rsid w:val="001D0CD1"/>
    <w:rsid w:val="001D0D07"/>
    <w:rsid w:val="001D1364"/>
    <w:rsid w:val="001D241F"/>
    <w:rsid w:val="001D2478"/>
    <w:rsid w:val="001D4609"/>
    <w:rsid w:val="001D4B2D"/>
    <w:rsid w:val="001D6E47"/>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F7"/>
    <w:rsid w:val="001F1D4F"/>
    <w:rsid w:val="001F2834"/>
    <w:rsid w:val="001F2E22"/>
    <w:rsid w:val="001F3AAF"/>
    <w:rsid w:val="001F5EF9"/>
    <w:rsid w:val="001F6528"/>
    <w:rsid w:val="001F6C9E"/>
    <w:rsid w:val="00200F32"/>
    <w:rsid w:val="00201713"/>
    <w:rsid w:val="002017AF"/>
    <w:rsid w:val="00201A0E"/>
    <w:rsid w:val="0020218A"/>
    <w:rsid w:val="0020392C"/>
    <w:rsid w:val="00203C86"/>
    <w:rsid w:val="00203FF5"/>
    <w:rsid w:val="00204890"/>
    <w:rsid w:val="002048D4"/>
    <w:rsid w:val="002069C8"/>
    <w:rsid w:val="0020728B"/>
    <w:rsid w:val="002103B4"/>
    <w:rsid w:val="002104E8"/>
    <w:rsid w:val="00211050"/>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4112"/>
    <w:rsid w:val="002456E9"/>
    <w:rsid w:val="0024627D"/>
    <w:rsid w:val="002463B1"/>
    <w:rsid w:val="002466FE"/>
    <w:rsid w:val="00246D1D"/>
    <w:rsid w:val="00247337"/>
    <w:rsid w:val="002478E8"/>
    <w:rsid w:val="00247DC5"/>
    <w:rsid w:val="00254683"/>
    <w:rsid w:val="002562DF"/>
    <w:rsid w:val="00257117"/>
    <w:rsid w:val="002574DA"/>
    <w:rsid w:val="0025766F"/>
    <w:rsid w:val="00260245"/>
    <w:rsid w:val="00260E4C"/>
    <w:rsid w:val="002611F1"/>
    <w:rsid w:val="002614AF"/>
    <w:rsid w:val="00261E8D"/>
    <w:rsid w:val="00263031"/>
    <w:rsid w:val="00263B64"/>
    <w:rsid w:val="00264670"/>
    <w:rsid w:val="00264851"/>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521A"/>
    <w:rsid w:val="00295CC9"/>
    <w:rsid w:val="00295FA6"/>
    <w:rsid w:val="00296D4C"/>
    <w:rsid w:val="00297046"/>
    <w:rsid w:val="00297885"/>
    <w:rsid w:val="002A0B90"/>
    <w:rsid w:val="002A0F41"/>
    <w:rsid w:val="002A126F"/>
    <w:rsid w:val="002A2853"/>
    <w:rsid w:val="002A498B"/>
    <w:rsid w:val="002A4B7B"/>
    <w:rsid w:val="002A7D11"/>
    <w:rsid w:val="002B05DC"/>
    <w:rsid w:val="002B127A"/>
    <w:rsid w:val="002B2238"/>
    <w:rsid w:val="002B2A1F"/>
    <w:rsid w:val="002B2C13"/>
    <w:rsid w:val="002B3DA0"/>
    <w:rsid w:val="002B4103"/>
    <w:rsid w:val="002B4D3E"/>
    <w:rsid w:val="002B54C0"/>
    <w:rsid w:val="002B5806"/>
    <w:rsid w:val="002B6C9E"/>
    <w:rsid w:val="002C0ADE"/>
    <w:rsid w:val="002C1DDF"/>
    <w:rsid w:val="002C2790"/>
    <w:rsid w:val="002C4BCE"/>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A28"/>
    <w:rsid w:val="002D68D6"/>
    <w:rsid w:val="002D6BBA"/>
    <w:rsid w:val="002D769E"/>
    <w:rsid w:val="002D7CFE"/>
    <w:rsid w:val="002E16E0"/>
    <w:rsid w:val="002E18DF"/>
    <w:rsid w:val="002E36F2"/>
    <w:rsid w:val="002E4CA2"/>
    <w:rsid w:val="002E4E43"/>
    <w:rsid w:val="002E5692"/>
    <w:rsid w:val="002E5873"/>
    <w:rsid w:val="002E6C5F"/>
    <w:rsid w:val="002E7338"/>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1BFD"/>
    <w:rsid w:val="0031602F"/>
    <w:rsid w:val="00316DD3"/>
    <w:rsid w:val="00317404"/>
    <w:rsid w:val="0032029C"/>
    <w:rsid w:val="00320408"/>
    <w:rsid w:val="00320668"/>
    <w:rsid w:val="00320FE2"/>
    <w:rsid w:val="00321422"/>
    <w:rsid w:val="0032194C"/>
    <w:rsid w:val="0032226C"/>
    <w:rsid w:val="00322A7B"/>
    <w:rsid w:val="00323885"/>
    <w:rsid w:val="0032389A"/>
    <w:rsid w:val="0032416C"/>
    <w:rsid w:val="0032420E"/>
    <w:rsid w:val="0032485C"/>
    <w:rsid w:val="00324CE6"/>
    <w:rsid w:val="00325B6A"/>
    <w:rsid w:val="003266CA"/>
    <w:rsid w:val="003271D1"/>
    <w:rsid w:val="00327CD3"/>
    <w:rsid w:val="003320F1"/>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4731A"/>
    <w:rsid w:val="00350317"/>
    <w:rsid w:val="003518E0"/>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F65"/>
    <w:rsid w:val="00367353"/>
    <w:rsid w:val="003675A6"/>
    <w:rsid w:val="00367E5F"/>
    <w:rsid w:val="00370957"/>
    <w:rsid w:val="00370CC3"/>
    <w:rsid w:val="00370D6A"/>
    <w:rsid w:val="00371559"/>
    <w:rsid w:val="003715AB"/>
    <w:rsid w:val="00371BD6"/>
    <w:rsid w:val="0037258E"/>
    <w:rsid w:val="00372786"/>
    <w:rsid w:val="00372B04"/>
    <w:rsid w:val="003746BA"/>
    <w:rsid w:val="00374E02"/>
    <w:rsid w:val="00376726"/>
    <w:rsid w:val="003767D2"/>
    <w:rsid w:val="00376E9A"/>
    <w:rsid w:val="00377ECA"/>
    <w:rsid w:val="0038198A"/>
    <w:rsid w:val="00381DFE"/>
    <w:rsid w:val="00382103"/>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F61"/>
    <w:rsid w:val="003A797E"/>
    <w:rsid w:val="003B105A"/>
    <w:rsid w:val="003B12DC"/>
    <w:rsid w:val="003B1A36"/>
    <w:rsid w:val="003B23EB"/>
    <w:rsid w:val="003B3742"/>
    <w:rsid w:val="003B411F"/>
    <w:rsid w:val="003B42ED"/>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5BB3"/>
    <w:rsid w:val="003D5ED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252E"/>
    <w:rsid w:val="00423581"/>
    <w:rsid w:val="0042485C"/>
    <w:rsid w:val="00424C64"/>
    <w:rsid w:val="00424D63"/>
    <w:rsid w:val="004257F9"/>
    <w:rsid w:val="004262C8"/>
    <w:rsid w:val="00426FEF"/>
    <w:rsid w:val="004279E6"/>
    <w:rsid w:val="00427ABB"/>
    <w:rsid w:val="0043192A"/>
    <w:rsid w:val="00432411"/>
    <w:rsid w:val="00432D8A"/>
    <w:rsid w:val="0043431B"/>
    <w:rsid w:val="00435601"/>
    <w:rsid w:val="00437B98"/>
    <w:rsid w:val="00437F92"/>
    <w:rsid w:val="0044013C"/>
    <w:rsid w:val="00440A49"/>
    <w:rsid w:val="004421C2"/>
    <w:rsid w:val="00442346"/>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61587"/>
    <w:rsid w:val="00461BF3"/>
    <w:rsid w:val="004630FA"/>
    <w:rsid w:val="004631FD"/>
    <w:rsid w:val="00463C15"/>
    <w:rsid w:val="00464C37"/>
    <w:rsid w:val="00465A62"/>
    <w:rsid w:val="00466819"/>
    <w:rsid w:val="00466981"/>
    <w:rsid w:val="00467CD6"/>
    <w:rsid w:val="00467D2D"/>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BD8"/>
    <w:rsid w:val="00484443"/>
    <w:rsid w:val="00485435"/>
    <w:rsid w:val="00486B8D"/>
    <w:rsid w:val="00486F6D"/>
    <w:rsid w:val="00487A8E"/>
    <w:rsid w:val="004905A5"/>
    <w:rsid w:val="0049079F"/>
    <w:rsid w:val="00493A8C"/>
    <w:rsid w:val="00493DCB"/>
    <w:rsid w:val="004941D9"/>
    <w:rsid w:val="00494791"/>
    <w:rsid w:val="00494E83"/>
    <w:rsid w:val="004964B3"/>
    <w:rsid w:val="0049726F"/>
    <w:rsid w:val="004973AF"/>
    <w:rsid w:val="004A018F"/>
    <w:rsid w:val="004A0ADD"/>
    <w:rsid w:val="004A10DB"/>
    <w:rsid w:val="004A116C"/>
    <w:rsid w:val="004A2F27"/>
    <w:rsid w:val="004A3A2C"/>
    <w:rsid w:val="004A4886"/>
    <w:rsid w:val="004A5ABB"/>
    <w:rsid w:val="004A6528"/>
    <w:rsid w:val="004A68FC"/>
    <w:rsid w:val="004B04FA"/>
    <w:rsid w:val="004B05A1"/>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45BD"/>
    <w:rsid w:val="004C47E6"/>
    <w:rsid w:val="004C4A0C"/>
    <w:rsid w:val="004C516D"/>
    <w:rsid w:val="004C5BD6"/>
    <w:rsid w:val="004C6055"/>
    <w:rsid w:val="004C60AE"/>
    <w:rsid w:val="004C644B"/>
    <w:rsid w:val="004C665E"/>
    <w:rsid w:val="004D0194"/>
    <w:rsid w:val="004D0BF5"/>
    <w:rsid w:val="004D1173"/>
    <w:rsid w:val="004D2362"/>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522"/>
    <w:rsid w:val="004F469D"/>
    <w:rsid w:val="004F4E6A"/>
    <w:rsid w:val="004F503D"/>
    <w:rsid w:val="004F6529"/>
    <w:rsid w:val="00500307"/>
    <w:rsid w:val="00500D7B"/>
    <w:rsid w:val="00502840"/>
    <w:rsid w:val="00504870"/>
    <w:rsid w:val="00504D49"/>
    <w:rsid w:val="0050540F"/>
    <w:rsid w:val="00505635"/>
    <w:rsid w:val="005063C5"/>
    <w:rsid w:val="00506BDD"/>
    <w:rsid w:val="00506E3C"/>
    <w:rsid w:val="00507A4C"/>
    <w:rsid w:val="00507AF3"/>
    <w:rsid w:val="00510BC5"/>
    <w:rsid w:val="005119AF"/>
    <w:rsid w:val="00511E46"/>
    <w:rsid w:val="005135FB"/>
    <w:rsid w:val="00513E20"/>
    <w:rsid w:val="00514D80"/>
    <w:rsid w:val="00514DE4"/>
    <w:rsid w:val="00515514"/>
    <w:rsid w:val="00515673"/>
    <w:rsid w:val="00515839"/>
    <w:rsid w:val="005161BD"/>
    <w:rsid w:val="00516A95"/>
    <w:rsid w:val="00516EFF"/>
    <w:rsid w:val="005170F5"/>
    <w:rsid w:val="0052149E"/>
    <w:rsid w:val="005228BF"/>
    <w:rsid w:val="00522EC2"/>
    <w:rsid w:val="00523478"/>
    <w:rsid w:val="00523A37"/>
    <w:rsid w:val="00523C5D"/>
    <w:rsid w:val="0052590B"/>
    <w:rsid w:val="00525F5F"/>
    <w:rsid w:val="005276DA"/>
    <w:rsid w:val="005278CD"/>
    <w:rsid w:val="00530312"/>
    <w:rsid w:val="005307BC"/>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6FE"/>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57BD"/>
    <w:rsid w:val="00586829"/>
    <w:rsid w:val="005875B0"/>
    <w:rsid w:val="005926FD"/>
    <w:rsid w:val="00592F64"/>
    <w:rsid w:val="00593349"/>
    <w:rsid w:val="0059399F"/>
    <w:rsid w:val="00596484"/>
    <w:rsid w:val="005976AE"/>
    <w:rsid w:val="005A020E"/>
    <w:rsid w:val="005A0435"/>
    <w:rsid w:val="005A0905"/>
    <w:rsid w:val="005A09F1"/>
    <w:rsid w:val="005A12A9"/>
    <w:rsid w:val="005A35BB"/>
    <w:rsid w:val="005A3949"/>
    <w:rsid w:val="005A51B3"/>
    <w:rsid w:val="005A6508"/>
    <w:rsid w:val="005A665D"/>
    <w:rsid w:val="005A6F24"/>
    <w:rsid w:val="005A70D0"/>
    <w:rsid w:val="005A7440"/>
    <w:rsid w:val="005B0ED6"/>
    <w:rsid w:val="005B0EEB"/>
    <w:rsid w:val="005B1C3D"/>
    <w:rsid w:val="005B3EAC"/>
    <w:rsid w:val="005B62FD"/>
    <w:rsid w:val="005B7857"/>
    <w:rsid w:val="005B7C5E"/>
    <w:rsid w:val="005C0B96"/>
    <w:rsid w:val="005C16DB"/>
    <w:rsid w:val="005C3409"/>
    <w:rsid w:val="005C4668"/>
    <w:rsid w:val="005C4D95"/>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9D0"/>
    <w:rsid w:val="005D605F"/>
    <w:rsid w:val="005D67B3"/>
    <w:rsid w:val="005D7B66"/>
    <w:rsid w:val="005E01BD"/>
    <w:rsid w:val="005E1C39"/>
    <w:rsid w:val="005E2D0D"/>
    <w:rsid w:val="005E352C"/>
    <w:rsid w:val="005E3966"/>
    <w:rsid w:val="005E40AC"/>
    <w:rsid w:val="005E4989"/>
    <w:rsid w:val="005E4E5F"/>
    <w:rsid w:val="005E51EF"/>
    <w:rsid w:val="005E547E"/>
    <w:rsid w:val="005E5568"/>
    <w:rsid w:val="005E5DB5"/>
    <w:rsid w:val="005E6319"/>
    <w:rsid w:val="005E6B7A"/>
    <w:rsid w:val="005E7699"/>
    <w:rsid w:val="005E77B5"/>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764E"/>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35B7"/>
    <w:rsid w:val="0064459E"/>
    <w:rsid w:val="00644BEC"/>
    <w:rsid w:val="00645AAB"/>
    <w:rsid w:val="0064700F"/>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CC1"/>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986"/>
    <w:rsid w:val="00690B0D"/>
    <w:rsid w:val="00690F8D"/>
    <w:rsid w:val="0069143C"/>
    <w:rsid w:val="00691F01"/>
    <w:rsid w:val="006922D1"/>
    <w:rsid w:val="0069248F"/>
    <w:rsid w:val="00692B88"/>
    <w:rsid w:val="00692C90"/>
    <w:rsid w:val="006938F0"/>
    <w:rsid w:val="0069426C"/>
    <w:rsid w:val="00694920"/>
    <w:rsid w:val="00695475"/>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5F94"/>
    <w:rsid w:val="006B7B26"/>
    <w:rsid w:val="006C176E"/>
    <w:rsid w:val="006C2995"/>
    <w:rsid w:val="006C3708"/>
    <w:rsid w:val="006C3D50"/>
    <w:rsid w:val="006C63CF"/>
    <w:rsid w:val="006C63F5"/>
    <w:rsid w:val="006C709A"/>
    <w:rsid w:val="006C71C7"/>
    <w:rsid w:val="006C7618"/>
    <w:rsid w:val="006D1E9A"/>
    <w:rsid w:val="006D248B"/>
    <w:rsid w:val="006D2C71"/>
    <w:rsid w:val="006D2F7F"/>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50AA"/>
    <w:rsid w:val="006E5FC7"/>
    <w:rsid w:val="006E7191"/>
    <w:rsid w:val="006F0DA9"/>
    <w:rsid w:val="006F1B73"/>
    <w:rsid w:val="006F26B1"/>
    <w:rsid w:val="006F288F"/>
    <w:rsid w:val="006F2972"/>
    <w:rsid w:val="006F2A5C"/>
    <w:rsid w:val="006F3518"/>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2102B"/>
    <w:rsid w:val="0072151D"/>
    <w:rsid w:val="007217C8"/>
    <w:rsid w:val="0072264C"/>
    <w:rsid w:val="00723B38"/>
    <w:rsid w:val="00723C3F"/>
    <w:rsid w:val="007252E1"/>
    <w:rsid w:val="00725566"/>
    <w:rsid w:val="0072711B"/>
    <w:rsid w:val="00727161"/>
    <w:rsid w:val="00727D86"/>
    <w:rsid w:val="00727DB6"/>
    <w:rsid w:val="00727EAC"/>
    <w:rsid w:val="00732407"/>
    <w:rsid w:val="00733B5E"/>
    <w:rsid w:val="00734355"/>
    <w:rsid w:val="007345DF"/>
    <w:rsid w:val="0073491B"/>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4D55"/>
    <w:rsid w:val="00756686"/>
    <w:rsid w:val="0075696B"/>
    <w:rsid w:val="00756E09"/>
    <w:rsid w:val="00756E90"/>
    <w:rsid w:val="0075776A"/>
    <w:rsid w:val="00757E08"/>
    <w:rsid w:val="007606CD"/>
    <w:rsid w:val="00762223"/>
    <w:rsid w:val="0076244F"/>
    <w:rsid w:val="007626C1"/>
    <w:rsid w:val="007636A2"/>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3264"/>
    <w:rsid w:val="007934B9"/>
    <w:rsid w:val="00794C25"/>
    <w:rsid w:val="00796425"/>
    <w:rsid w:val="00797287"/>
    <w:rsid w:val="00797EAC"/>
    <w:rsid w:val="007A08D8"/>
    <w:rsid w:val="007A13D6"/>
    <w:rsid w:val="007A526A"/>
    <w:rsid w:val="007A5456"/>
    <w:rsid w:val="007B0A2A"/>
    <w:rsid w:val="007B1975"/>
    <w:rsid w:val="007B1997"/>
    <w:rsid w:val="007B1BD9"/>
    <w:rsid w:val="007B298C"/>
    <w:rsid w:val="007B48E4"/>
    <w:rsid w:val="007B4E2A"/>
    <w:rsid w:val="007B4E6B"/>
    <w:rsid w:val="007B5A1E"/>
    <w:rsid w:val="007B5BA1"/>
    <w:rsid w:val="007B6412"/>
    <w:rsid w:val="007B6D20"/>
    <w:rsid w:val="007B74FF"/>
    <w:rsid w:val="007C0E63"/>
    <w:rsid w:val="007C0F64"/>
    <w:rsid w:val="007C14AC"/>
    <w:rsid w:val="007C1E2C"/>
    <w:rsid w:val="007C3068"/>
    <w:rsid w:val="007C3816"/>
    <w:rsid w:val="007C3C0E"/>
    <w:rsid w:val="007C3D11"/>
    <w:rsid w:val="007C4166"/>
    <w:rsid w:val="007C47FA"/>
    <w:rsid w:val="007C521E"/>
    <w:rsid w:val="007C598D"/>
    <w:rsid w:val="007C6035"/>
    <w:rsid w:val="007C62BF"/>
    <w:rsid w:val="007C693A"/>
    <w:rsid w:val="007C747E"/>
    <w:rsid w:val="007D09FF"/>
    <w:rsid w:val="007D0D21"/>
    <w:rsid w:val="007D1C63"/>
    <w:rsid w:val="007D1D5D"/>
    <w:rsid w:val="007D278A"/>
    <w:rsid w:val="007D2EE1"/>
    <w:rsid w:val="007D3D1A"/>
    <w:rsid w:val="007D4B2F"/>
    <w:rsid w:val="007D4DA8"/>
    <w:rsid w:val="007D4F84"/>
    <w:rsid w:val="007D500C"/>
    <w:rsid w:val="007D6046"/>
    <w:rsid w:val="007D604F"/>
    <w:rsid w:val="007D6322"/>
    <w:rsid w:val="007E0616"/>
    <w:rsid w:val="007E090F"/>
    <w:rsid w:val="007E145D"/>
    <w:rsid w:val="007E17FA"/>
    <w:rsid w:val="007E1867"/>
    <w:rsid w:val="007E2812"/>
    <w:rsid w:val="007E3019"/>
    <w:rsid w:val="007E4486"/>
    <w:rsid w:val="007E5081"/>
    <w:rsid w:val="007E5225"/>
    <w:rsid w:val="007E5392"/>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7E7E"/>
    <w:rsid w:val="008207E1"/>
    <w:rsid w:val="00820A37"/>
    <w:rsid w:val="00820A56"/>
    <w:rsid w:val="00820BD0"/>
    <w:rsid w:val="0082352B"/>
    <w:rsid w:val="008239B8"/>
    <w:rsid w:val="0082449C"/>
    <w:rsid w:val="00824608"/>
    <w:rsid w:val="00824FAE"/>
    <w:rsid w:val="0082527A"/>
    <w:rsid w:val="00825783"/>
    <w:rsid w:val="0082610C"/>
    <w:rsid w:val="0082756D"/>
    <w:rsid w:val="00827658"/>
    <w:rsid w:val="00830754"/>
    <w:rsid w:val="00830F8B"/>
    <w:rsid w:val="00831BFA"/>
    <w:rsid w:val="008321CB"/>
    <w:rsid w:val="00833630"/>
    <w:rsid w:val="00833EB4"/>
    <w:rsid w:val="00834095"/>
    <w:rsid w:val="00834151"/>
    <w:rsid w:val="00834D77"/>
    <w:rsid w:val="00835B00"/>
    <w:rsid w:val="008362B1"/>
    <w:rsid w:val="00840BD0"/>
    <w:rsid w:val="00841676"/>
    <w:rsid w:val="00841735"/>
    <w:rsid w:val="00841D5C"/>
    <w:rsid w:val="00842F30"/>
    <w:rsid w:val="0084489C"/>
    <w:rsid w:val="00845194"/>
    <w:rsid w:val="0084738E"/>
    <w:rsid w:val="00847824"/>
    <w:rsid w:val="00847AC6"/>
    <w:rsid w:val="008506C6"/>
    <w:rsid w:val="00851C45"/>
    <w:rsid w:val="008535D6"/>
    <w:rsid w:val="00854605"/>
    <w:rsid w:val="008546AA"/>
    <w:rsid w:val="008609DD"/>
    <w:rsid w:val="00860C6F"/>
    <w:rsid w:val="00860DA2"/>
    <w:rsid w:val="00862881"/>
    <w:rsid w:val="008638D7"/>
    <w:rsid w:val="00864991"/>
    <w:rsid w:val="00866B1E"/>
    <w:rsid w:val="00867272"/>
    <w:rsid w:val="008672B9"/>
    <w:rsid w:val="00871229"/>
    <w:rsid w:val="0087390A"/>
    <w:rsid w:val="00873935"/>
    <w:rsid w:val="00873A0B"/>
    <w:rsid w:val="00873DE2"/>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60C2"/>
    <w:rsid w:val="008F6216"/>
    <w:rsid w:val="008F7172"/>
    <w:rsid w:val="008F7762"/>
    <w:rsid w:val="008F7D3F"/>
    <w:rsid w:val="009002B5"/>
    <w:rsid w:val="0090034D"/>
    <w:rsid w:val="00900BED"/>
    <w:rsid w:val="00900EE0"/>
    <w:rsid w:val="00901514"/>
    <w:rsid w:val="0090211E"/>
    <w:rsid w:val="00902582"/>
    <w:rsid w:val="009028EC"/>
    <w:rsid w:val="00902EAD"/>
    <w:rsid w:val="009045C8"/>
    <w:rsid w:val="009052CD"/>
    <w:rsid w:val="009053D0"/>
    <w:rsid w:val="009059B3"/>
    <w:rsid w:val="00905CC0"/>
    <w:rsid w:val="00906BD4"/>
    <w:rsid w:val="00906CF3"/>
    <w:rsid w:val="009106B6"/>
    <w:rsid w:val="009114BC"/>
    <w:rsid w:val="0091209C"/>
    <w:rsid w:val="00915D08"/>
    <w:rsid w:val="00916B03"/>
    <w:rsid w:val="0091726F"/>
    <w:rsid w:val="00920A78"/>
    <w:rsid w:val="009218D0"/>
    <w:rsid w:val="00921981"/>
    <w:rsid w:val="009219C0"/>
    <w:rsid w:val="009264DC"/>
    <w:rsid w:val="00926EBC"/>
    <w:rsid w:val="009279F0"/>
    <w:rsid w:val="00930B18"/>
    <w:rsid w:val="00931A31"/>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511D"/>
    <w:rsid w:val="009455C8"/>
    <w:rsid w:val="0094674C"/>
    <w:rsid w:val="00946ED3"/>
    <w:rsid w:val="0094718F"/>
    <w:rsid w:val="0094763F"/>
    <w:rsid w:val="00947D32"/>
    <w:rsid w:val="0095195D"/>
    <w:rsid w:val="00952207"/>
    <w:rsid w:val="0095267B"/>
    <w:rsid w:val="009530A2"/>
    <w:rsid w:val="0095450E"/>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736"/>
    <w:rsid w:val="009869D4"/>
    <w:rsid w:val="009872CA"/>
    <w:rsid w:val="009878F9"/>
    <w:rsid w:val="00987B0E"/>
    <w:rsid w:val="00991429"/>
    <w:rsid w:val="00991A99"/>
    <w:rsid w:val="00991DF4"/>
    <w:rsid w:val="0099207F"/>
    <w:rsid w:val="00997E57"/>
    <w:rsid w:val="009A1E99"/>
    <w:rsid w:val="009A27FA"/>
    <w:rsid w:val="009A4346"/>
    <w:rsid w:val="009A490B"/>
    <w:rsid w:val="009A4BEB"/>
    <w:rsid w:val="009A4FE6"/>
    <w:rsid w:val="009A5704"/>
    <w:rsid w:val="009A5F14"/>
    <w:rsid w:val="009A79DD"/>
    <w:rsid w:val="009B04A1"/>
    <w:rsid w:val="009B12CA"/>
    <w:rsid w:val="009B1881"/>
    <w:rsid w:val="009B1DDC"/>
    <w:rsid w:val="009B253A"/>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1E9C"/>
    <w:rsid w:val="00A02A14"/>
    <w:rsid w:val="00A03221"/>
    <w:rsid w:val="00A0323D"/>
    <w:rsid w:val="00A03331"/>
    <w:rsid w:val="00A04AA1"/>
    <w:rsid w:val="00A0527E"/>
    <w:rsid w:val="00A0581A"/>
    <w:rsid w:val="00A07490"/>
    <w:rsid w:val="00A11893"/>
    <w:rsid w:val="00A14068"/>
    <w:rsid w:val="00A143B7"/>
    <w:rsid w:val="00A1483C"/>
    <w:rsid w:val="00A1505C"/>
    <w:rsid w:val="00A15E9A"/>
    <w:rsid w:val="00A16CBB"/>
    <w:rsid w:val="00A20118"/>
    <w:rsid w:val="00A2162C"/>
    <w:rsid w:val="00A22624"/>
    <w:rsid w:val="00A22DCE"/>
    <w:rsid w:val="00A23AE1"/>
    <w:rsid w:val="00A23CBF"/>
    <w:rsid w:val="00A24D78"/>
    <w:rsid w:val="00A25582"/>
    <w:rsid w:val="00A26D4A"/>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50AC4"/>
    <w:rsid w:val="00A50BA8"/>
    <w:rsid w:val="00A50BF5"/>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D72"/>
    <w:rsid w:val="00A745DA"/>
    <w:rsid w:val="00A7480F"/>
    <w:rsid w:val="00A74F52"/>
    <w:rsid w:val="00A756FD"/>
    <w:rsid w:val="00A7572C"/>
    <w:rsid w:val="00A757DF"/>
    <w:rsid w:val="00A758AD"/>
    <w:rsid w:val="00A76634"/>
    <w:rsid w:val="00A77519"/>
    <w:rsid w:val="00A778AE"/>
    <w:rsid w:val="00A77FE9"/>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E1F"/>
    <w:rsid w:val="00AA0069"/>
    <w:rsid w:val="00AA1ACE"/>
    <w:rsid w:val="00AA2198"/>
    <w:rsid w:val="00AA39AA"/>
    <w:rsid w:val="00AA4A18"/>
    <w:rsid w:val="00AA4B8B"/>
    <w:rsid w:val="00AA5193"/>
    <w:rsid w:val="00AA65B3"/>
    <w:rsid w:val="00AA6628"/>
    <w:rsid w:val="00AA6987"/>
    <w:rsid w:val="00AA6E33"/>
    <w:rsid w:val="00AA6FCB"/>
    <w:rsid w:val="00AA7549"/>
    <w:rsid w:val="00AB108E"/>
    <w:rsid w:val="00AB2271"/>
    <w:rsid w:val="00AB2C63"/>
    <w:rsid w:val="00AB3851"/>
    <w:rsid w:val="00AB3A63"/>
    <w:rsid w:val="00AB4526"/>
    <w:rsid w:val="00AB4CF0"/>
    <w:rsid w:val="00AB5EF6"/>
    <w:rsid w:val="00AB5FD8"/>
    <w:rsid w:val="00AB60EF"/>
    <w:rsid w:val="00AB6B39"/>
    <w:rsid w:val="00AB6F3F"/>
    <w:rsid w:val="00AC0608"/>
    <w:rsid w:val="00AC0B10"/>
    <w:rsid w:val="00AC12C6"/>
    <w:rsid w:val="00AC2943"/>
    <w:rsid w:val="00AC2FE6"/>
    <w:rsid w:val="00AC4F79"/>
    <w:rsid w:val="00AC5893"/>
    <w:rsid w:val="00AC5F23"/>
    <w:rsid w:val="00AC6C05"/>
    <w:rsid w:val="00AC7502"/>
    <w:rsid w:val="00AD0874"/>
    <w:rsid w:val="00AD1701"/>
    <w:rsid w:val="00AD3908"/>
    <w:rsid w:val="00AD7039"/>
    <w:rsid w:val="00AE3534"/>
    <w:rsid w:val="00AE3CD3"/>
    <w:rsid w:val="00AE43DB"/>
    <w:rsid w:val="00AE5E6E"/>
    <w:rsid w:val="00AE6590"/>
    <w:rsid w:val="00AE73BA"/>
    <w:rsid w:val="00AF2744"/>
    <w:rsid w:val="00AF2850"/>
    <w:rsid w:val="00AF2E1A"/>
    <w:rsid w:val="00AF36BE"/>
    <w:rsid w:val="00AF3D24"/>
    <w:rsid w:val="00AF49CF"/>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1714"/>
    <w:rsid w:val="00B420BB"/>
    <w:rsid w:val="00B435B0"/>
    <w:rsid w:val="00B436EF"/>
    <w:rsid w:val="00B44A0A"/>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3A83"/>
    <w:rsid w:val="00B7428A"/>
    <w:rsid w:val="00B749A0"/>
    <w:rsid w:val="00B75E76"/>
    <w:rsid w:val="00B763C4"/>
    <w:rsid w:val="00B82557"/>
    <w:rsid w:val="00B84F6F"/>
    <w:rsid w:val="00B85542"/>
    <w:rsid w:val="00B85C21"/>
    <w:rsid w:val="00B86A98"/>
    <w:rsid w:val="00B86C81"/>
    <w:rsid w:val="00B871F3"/>
    <w:rsid w:val="00B9022A"/>
    <w:rsid w:val="00B90527"/>
    <w:rsid w:val="00B916B1"/>
    <w:rsid w:val="00B927F3"/>
    <w:rsid w:val="00B92ABC"/>
    <w:rsid w:val="00B92DB9"/>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74EE"/>
    <w:rsid w:val="00BA75D9"/>
    <w:rsid w:val="00BA7C6B"/>
    <w:rsid w:val="00BA7FD4"/>
    <w:rsid w:val="00BB083E"/>
    <w:rsid w:val="00BB10C1"/>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42C"/>
    <w:rsid w:val="00BD5A5A"/>
    <w:rsid w:val="00BD64D1"/>
    <w:rsid w:val="00BD7E3D"/>
    <w:rsid w:val="00BE0923"/>
    <w:rsid w:val="00BE0B57"/>
    <w:rsid w:val="00BE254A"/>
    <w:rsid w:val="00BE26FB"/>
    <w:rsid w:val="00BE4816"/>
    <w:rsid w:val="00BE4918"/>
    <w:rsid w:val="00BE4D64"/>
    <w:rsid w:val="00BE4F3B"/>
    <w:rsid w:val="00BE5375"/>
    <w:rsid w:val="00BF071A"/>
    <w:rsid w:val="00BF0DDC"/>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11B1"/>
    <w:rsid w:val="00C11357"/>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6031B"/>
    <w:rsid w:val="00C60433"/>
    <w:rsid w:val="00C609A6"/>
    <w:rsid w:val="00C60BAA"/>
    <w:rsid w:val="00C61970"/>
    <w:rsid w:val="00C628BC"/>
    <w:rsid w:val="00C64260"/>
    <w:rsid w:val="00C64FCF"/>
    <w:rsid w:val="00C65472"/>
    <w:rsid w:val="00C65A37"/>
    <w:rsid w:val="00C66E30"/>
    <w:rsid w:val="00C700B6"/>
    <w:rsid w:val="00C7052E"/>
    <w:rsid w:val="00C72348"/>
    <w:rsid w:val="00C7264F"/>
    <w:rsid w:val="00C730AE"/>
    <w:rsid w:val="00C73620"/>
    <w:rsid w:val="00C74369"/>
    <w:rsid w:val="00C756DB"/>
    <w:rsid w:val="00C75923"/>
    <w:rsid w:val="00C76C2E"/>
    <w:rsid w:val="00C76C4F"/>
    <w:rsid w:val="00C76DAC"/>
    <w:rsid w:val="00C77E1A"/>
    <w:rsid w:val="00C80D88"/>
    <w:rsid w:val="00C82D40"/>
    <w:rsid w:val="00C8673D"/>
    <w:rsid w:val="00C8694C"/>
    <w:rsid w:val="00C87889"/>
    <w:rsid w:val="00C902AE"/>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394D"/>
    <w:rsid w:val="00CA44EB"/>
    <w:rsid w:val="00CA44F1"/>
    <w:rsid w:val="00CA504B"/>
    <w:rsid w:val="00CA59FA"/>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2AC0"/>
    <w:rsid w:val="00CF2CB8"/>
    <w:rsid w:val="00CF3586"/>
    <w:rsid w:val="00CF375D"/>
    <w:rsid w:val="00CF43F1"/>
    <w:rsid w:val="00CF4C4E"/>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3044"/>
    <w:rsid w:val="00D13BD6"/>
    <w:rsid w:val="00D13DD4"/>
    <w:rsid w:val="00D13E50"/>
    <w:rsid w:val="00D146F6"/>
    <w:rsid w:val="00D14D8B"/>
    <w:rsid w:val="00D15533"/>
    <w:rsid w:val="00D16009"/>
    <w:rsid w:val="00D16521"/>
    <w:rsid w:val="00D201E7"/>
    <w:rsid w:val="00D20AB7"/>
    <w:rsid w:val="00D21A33"/>
    <w:rsid w:val="00D23257"/>
    <w:rsid w:val="00D2401C"/>
    <w:rsid w:val="00D2461C"/>
    <w:rsid w:val="00D25B2B"/>
    <w:rsid w:val="00D25BAA"/>
    <w:rsid w:val="00D2634A"/>
    <w:rsid w:val="00D26C6D"/>
    <w:rsid w:val="00D27A79"/>
    <w:rsid w:val="00D3043D"/>
    <w:rsid w:val="00D30B64"/>
    <w:rsid w:val="00D30DAF"/>
    <w:rsid w:val="00D30F17"/>
    <w:rsid w:val="00D31754"/>
    <w:rsid w:val="00D319B2"/>
    <w:rsid w:val="00D33DDD"/>
    <w:rsid w:val="00D34418"/>
    <w:rsid w:val="00D34572"/>
    <w:rsid w:val="00D353AA"/>
    <w:rsid w:val="00D362B9"/>
    <w:rsid w:val="00D362FF"/>
    <w:rsid w:val="00D369F4"/>
    <w:rsid w:val="00D36BCE"/>
    <w:rsid w:val="00D36E44"/>
    <w:rsid w:val="00D37C87"/>
    <w:rsid w:val="00D400C4"/>
    <w:rsid w:val="00D41372"/>
    <w:rsid w:val="00D41DFB"/>
    <w:rsid w:val="00D44E5A"/>
    <w:rsid w:val="00D4562C"/>
    <w:rsid w:val="00D45CB4"/>
    <w:rsid w:val="00D47B67"/>
    <w:rsid w:val="00D5064F"/>
    <w:rsid w:val="00D5181B"/>
    <w:rsid w:val="00D521E8"/>
    <w:rsid w:val="00D52F87"/>
    <w:rsid w:val="00D56400"/>
    <w:rsid w:val="00D57519"/>
    <w:rsid w:val="00D602CE"/>
    <w:rsid w:val="00D60C8D"/>
    <w:rsid w:val="00D6196A"/>
    <w:rsid w:val="00D62FF2"/>
    <w:rsid w:val="00D63160"/>
    <w:rsid w:val="00D6359D"/>
    <w:rsid w:val="00D6362B"/>
    <w:rsid w:val="00D63703"/>
    <w:rsid w:val="00D640B2"/>
    <w:rsid w:val="00D6481D"/>
    <w:rsid w:val="00D64C4A"/>
    <w:rsid w:val="00D66BFF"/>
    <w:rsid w:val="00D67C8D"/>
    <w:rsid w:val="00D67E44"/>
    <w:rsid w:val="00D7098D"/>
    <w:rsid w:val="00D722D3"/>
    <w:rsid w:val="00D72C6F"/>
    <w:rsid w:val="00D74E89"/>
    <w:rsid w:val="00D7557A"/>
    <w:rsid w:val="00D77220"/>
    <w:rsid w:val="00D77EF6"/>
    <w:rsid w:val="00D80C5F"/>
    <w:rsid w:val="00D822BF"/>
    <w:rsid w:val="00D82F1B"/>
    <w:rsid w:val="00D839AF"/>
    <w:rsid w:val="00D83ABF"/>
    <w:rsid w:val="00D84899"/>
    <w:rsid w:val="00D848C0"/>
    <w:rsid w:val="00D851BB"/>
    <w:rsid w:val="00D87C65"/>
    <w:rsid w:val="00D87D2E"/>
    <w:rsid w:val="00D911CB"/>
    <w:rsid w:val="00D9180D"/>
    <w:rsid w:val="00D92472"/>
    <w:rsid w:val="00D935B4"/>
    <w:rsid w:val="00D94D5E"/>
    <w:rsid w:val="00D95BB4"/>
    <w:rsid w:val="00D95F30"/>
    <w:rsid w:val="00D965C5"/>
    <w:rsid w:val="00DA0E89"/>
    <w:rsid w:val="00DA1171"/>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2857"/>
    <w:rsid w:val="00DC2F93"/>
    <w:rsid w:val="00DC400E"/>
    <w:rsid w:val="00DC4175"/>
    <w:rsid w:val="00DC454D"/>
    <w:rsid w:val="00DC5A3C"/>
    <w:rsid w:val="00DD0A94"/>
    <w:rsid w:val="00DD3F68"/>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FC3"/>
    <w:rsid w:val="00E56723"/>
    <w:rsid w:val="00E567D7"/>
    <w:rsid w:val="00E56800"/>
    <w:rsid w:val="00E60014"/>
    <w:rsid w:val="00E60317"/>
    <w:rsid w:val="00E612A7"/>
    <w:rsid w:val="00E61E4F"/>
    <w:rsid w:val="00E622A2"/>
    <w:rsid w:val="00E6389B"/>
    <w:rsid w:val="00E63E11"/>
    <w:rsid w:val="00E64779"/>
    <w:rsid w:val="00E64F6D"/>
    <w:rsid w:val="00E65868"/>
    <w:rsid w:val="00E65F0C"/>
    <w:rsid w:val="00E67042"/>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6C"/>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5024"/>
    <w:rsid w:val="00EC542C"/>
    <w:rsid w:val="00EC5F70"/>
    <w:rsid w:val="00EC73BB"/>
    <w:rsid w:val="00ED0661"/>
    <w:rsid w:val="00ED5182"/>
    <w:rsid w:val="00ED5199"/>
    <w:rsid w:val="00ED59CE"/>
    <w:rsid w:val="00ED5B7E"/>
    <w:rsid w:val="00ED64E6"/>
    <w:rsid w:val="00EE0020"/>
    <w:rsid w:val="00EE280E"/>
    <w:rsid w:val="00EE31E3"/>
    <w:rsid w:val="00EE375E"/>
    <w:rsid w:val="00EE3C83"/>
    <w:rsid w:val="00EE42FB"/>
    <w:rsid w:val="00EE44E3"/>
    <w:rsid w:val="00EE6BBB"/>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373"/>
    <w:rsid w:val="00F34B56"/>
    <w:rsid w:val="00F36EC7"/>
    <w:rsid w:val="00F37AC9"/>
    <w:rsid w:val="00F4029F"/>
    <w:rsid w:val="00F4186C"/>
    <w:rsid w:val="00F4266F"/>
    <w:rsid w:val="00F42AC8"/>
    <w:rsid w:val="00F42D06"/>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970"/>
    <w:rsid w:val="00F61AD7"/>
    <w:rsid w:val="00F61D39"/>
    <w:rsid w:val="00F62C9F"/>
    <w:rsid w:val="00F634FF"/>
    <w:rsid w:val="00F6399E"/>
    <w:rsid w:val="00F65044"/>
    <w:rsid w:val="00F65791"/>
    <w:rsid w:val="00F662EB"/>
    <w:rsid w:val="00F66D38"/>
    <w:rsid w:val="00F670BA"/>
    <w:rsid w:val="00F7190B"/>
    <w:rsid w:val="00F7380B"/>
    <w:rsid w:val="00F759A8"/>
    <w:rsid w:val="00F7690D"/>
    <w:rsid w:val="00F7707D"/>
    <w:rsid w:val="00F770B4"/>
    <w:rsid w:val="00F774A1"/>
    <w:rsid w:val="00F7792C"/>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865"/>
    <w:rsid w:val="00FA47A8"/>
    <w:rsid w:val="00FA6076"/>
    <w:rsid w:val="00FA6099"/>
    <w:rsid w:val="00FA6BEA"/>
    <w:rsid w:val="00FA6FFA"/>
    <w:rsid w:val="00FA7193"/>
    <w:rsid w:val="00FA7A1C"/>
    <w:rsid w:val="00FB0532"/>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2F0"/>
    <w:rsid w:val="00FC765B"/>
    <w:rsid w:val="00FC77EC"/>
    <w:rsid w:val="00FC7867"/>
    <w:rsid w:val="00FD052A"/>
    <w:rsid w:val="00FD109A"/>
    <w:rsid w:val="00FD1B67"/>
    <w:rsid w:val="00FD21B0"/>
    <w:rsid w:val="00FD2E4B"/>
    <w:rsid w:val="00FD3420"/>
    <w:rsid w:val="00FD3B39"/>
    <w:rsid w:val="00FD45BF"/>
    <w:rsid w:val="00FD5D4D"/>
    <w:rsid w:val="00FD608D"/>
    <w:rsid w:val="00FE1353"/>
    <w:rsid w:val="00FE205B"/>
    <w:rsid w:val="00FE2308"/>
    <w:rsid w:val="00FE2CCC"/>
    <w:rsid w:val="00FE332B"/>
    <w:rsid w:val="00FE439B"/>
    <w:rsid w:val="00FE44F1"/>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264243B"/>
    <w:rsid w:val="06B84C89"/>
    <w:rsid w:val="06BA27AF"/>
    <w:rsid w:val="06EA35F3"/>
    <w:rsid w:val="0926412B"/>
    <w:rsid w:val="09DA291E"/>
    <w:rsid w:val="0BAF14FA"/>
    <w:rsid w:val="0CBD14E3"/>
    <w:rsid w:val="0E2D4AFB"/>
    <w:rsid w:val="0ED63EFE"/>
    <w:rsid w:val="0FCFFCF2"/>
    <w:rsid w:val="14FA0541"/>
    <w:rsid w:val="15E11B06"/>
    <w:rsid w:val="16EA410E"/>
    <w:rsid w:val="17A247C8"/>
    <w:rsid w:val="17EA1957"/>
    <w:rsid w:val="18FE0733"/>
    <w:rsid w:val="19C57049"/>
    <w:rsid w:val="19CD6321"/>
    <w:rsid w:val="1A6941BD"/>
    <w:rsid w:val="1A805E7E"/>
    <w:rsid w:val="1A872550"/>
    <w:rsid w:val="1B2D759B"/>
    <w:rsid w:val="1CB87339"/>
    <w:rsid w:val="228E6FEE"/>
    <w:rsid w:val="261A696E"/>
    <w:rsid w:val="29FF1B08"/>
    <w:rsid w:val="2E3B786D"/>
    <w:rsid w:val="2E4B655D"/>
    <w:rsid w:val="30647549"/>
    <w:rsid w:val="355C665B"/>
    <w:rsid w:val="39F37249"/>
    <w:rsid w:val="39F8091D"/>
    <w:rsid w:val="3B3D6F2F"/>
    <w:rsid w:val="3B7F0AB0"/>
    <w:rsid w:val="3B96663F"/>
    <w:rsid w:val="3BA323D5"/>
    <w:rsid w:val="3CAA05F4"/>
    <w:rsid w:val="41214BFD"/>
    <w:rsid w:val="421F2EEA"/>
    <w:rsid w:val="44307631"/>
    <w:rsid w:val="46FF32EA"/>
    <w:rsid w:val="476F721A"/>
    <w:rsid w:val="48AF71F6"/>
    <w:rsid w:val="4BC44B03"/>
    <w:rsid w:val="4CE40FB0"/>
    <w:rsid w:val="4D707A6B"/>
    <w:rsid w:val="4E770B88"/>
    <w:rsid w:val="4EA03605"/>
    <w:rsid w:val="504C256E"/>
    <w:rsid w:val="516052CE"/>
    <w:rsid w:val="5281780D"/>
    <w:rsid w:val="53B70047"/>
    <w:rsid w:val="5748413B"/>
    <w:rsid w:val="583A0626"/>
    <w:rsid w:val="5EFC4888"/>
    <w:rsid w:val="60F97ABE"/>
    <w:rsid w:val="611C736B"/>
    <w:rsid w:val="63B608CE"/>
    <w:rsid w:val="651F59DF"/>
    <w:rsid w:val="6907147A"/>
    <w:rsid w:val="6B15282D"/>
    <w:rsid w:val="6CFD441C"/>
    <w:rsid w:val="6E1D1EDF"/>
    <w:rsid w:val="6F775864"/>
    <w:rsid w:val="75461F61"/>
    <w:rsid w:val="7740434F"/>
    <w:rsid w:val="78EA67EA"/>
    <w:rsid w:val="79E44FE9"/>
    <w:rsid w:val="7AF02294"/>
    <w:rsid w:val="7C2E2DC9"/>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qFormat="1"/>
    <w:lsdException w:name="footer" w:semiHidden="0" w:unhideWhenUsed="0" w:qFormat="1"/>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qFormat="1"/>
    <w:lsdException w:name="Subtitle" w:locked="1" w:semiHidden="0" w:uiPriority="0" w:unhideWhenUsed="0" w:qFormat="1"/>
    <w:lsdException w:name="Date" w:semiHidden="0" w:uiPriority="0" w:qFormat="1"/>
    <w:lsdException w:name="Body Text Indent 2" w:semiHidden="0" w:uiPriority="0" w:qFormat="1"/>
    <w:lsdException w:name="Body Text Indent 3" w:semiHidden="0" w:uiPriority="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uiPriority="0" w:unhideWhenUsed="0" w:qFormat="1"/>
    <w:lsdException w:name="Balloon Text" w:unhideWhenUsed="0" w:qFormat="1"/>
    <w:lsdException w:name="Table Grid" w:semiHidden="0" w:uiPriority="59"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nhideWhenUsed/>
    <w:qFormat/>
    <w:locked/>
    <w:pPr>
      <w:keepNext/>
      <w:keepLines/>
      <w:numPr>
        <w:ilvl w:val="2"/>
        <w:numId w:val="1"/>
      </w:numPr>
      <w:spacing w:before="260" w:after="260" w:line="413" w:lineRule="auto"/>
      <w:outlineLvl w:val="2"/>
    </w:pPr>
    <w:rPr>
      <w:rFonts w:eastAsia="Heiti SC Medium"/>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qFormat/>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qFormat/>
    <w:pPr>
      <w:ind w:firstLineChars="200" w:firstLine="592"/>
    </w:pPr>
    <w:rPr>
      <w:rFonts w:eastAsia="仿宋_GB2312"/>
      <w:sz w:val="30"/>
    </w:rPr>
  </w:style>
  <w:style w:type="paragraph" w:styleId="a7">
    <w:name w:val="Balloon Text"/>
    <w:basedOn w:val="a"/>
    <w:link w:val="Char2"/>
    <w:uiPriority w:val="99"/>
    <w:semiHidden/>
    <w:qFormat/>
    <w:rPr>
      <w:sz w:val="18"/>
      <w:szCs w:val="18"/>
    </w:rPr>
  </w:style>
  <w:style w:type="paragraph" w:styleId="a8">
    <w:name w:val="footer"/>
    <w:basedOn w:val="a"/>
    <w:link w:val="Char3"/>
    <w:uiPriority w:val="99"/>
    <w:qFormat/>
    <w:pPr>
      <w:tabs>
        <w:tab w:val="center" w:pos="4153"/>
        <w:tab w:val="right" w:pos="8306"/>
      </w:tabs>
      <w:snapToGrid w:val="0"/>
      <w:jc w:val="left"/>
    </w:pPr>
    <w:rPr>
      <w:kern w:val="0"/>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
    <w:unhideWhenUsed/>
    <w:qFormat/>
    <w:pPr>
      <w:spacing w:line="460" w:lineRule="exact"/>
      <w:ind w:firstLineChars="200" w:firstLine="472"/>
    </w:pPr>
    <w:rPr>
      <w:rFonts w:eastAsia="仿宋_GB2312"/>
      <w:sz w:val="24"/>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0"/>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unhideWhenUsed="0" w:qFormat="1"/>
    <w:lsdException w:name="header" w:semiHidden="0" w:unhideWhenUsed="0" w:qFormat="1"/>
    <w:lsdException w:name="footer" w:semiHidden="0" w:unhideWhenUsed="0" w:qFormat="1"/>
    <w:lsdException w:name="caption" w:locked="1" w:uiPriority="0" w:qFormat="1"/>
    <w:lsdException w:name="annotation reference" w:uiPriority="0" w:unhideWhenUsed="0" w:qFormat="1"/>
    <w:lsdException w:name="page number" w:semiHidden="0" w:unhideWhenUsed="0" w:qFormat="1"/>
    <w:lsdException w:name="Title" w:locked="1" w:semiHidden="0" w:uiPriority="0" w:unhideWhenUsed="0" w:qFormat="1"/>
    <w:lsdException w:name="Default Paragraph Font" w:uiPriority="1"/>
    <w:lsdException w:name="Body Text" w:semiHidden="0" w:qFormat="1"/>
    <w:lsdException w:name="Subtitle" w:locked="1" w:semiHidden="0" w:uiPriority="0" w:unhideWhenUsed="0" w:qFormat="1"/>
    <w:lsdException w:name="Date" w:semiHidden="0" w:uiPriority="0" w:qFormat="1"/>
    <w:lsdException w:name="Body Text Indent 2" w:semiHidden="0" w:uiPriority="0" w:qFormat="1"/>
    <w:lsdException w:name="Body Text Indent 3" w:semiHidden="0" w:uiPriority="0" w:qFormat="1"/>
    <w:lsdException w:name="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HTML Preformatted" w:semiHidden="0" w:uiPriority="0" w:qFormat="1"/>
    <w:lsdException w:name="Normal Table" w:qFormat="1"/>
    <w:lsdException w:name="annotation subject" w:uiPriority="0" w:unhideWhenUsed="0" w:qFormat="1"/>
    <w:lsdException w:name="Balloon Text" w:unhideWhenUsed="0" w:qFormat="1"/>
    <w:lsdException w:name="Table Grid" w:semiHidden="0" w:uiPriority="59" w:unhideWhenUsed="0" w:qFormat="1"/>
    <w:lsdException w:name="Table Theme"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4"/>
    </w:rPr>
  </w:style>
  <w:style w:type="paragraph" w:styleId="1">
    <w:name w:val="heading 1"/>
    <w:basedOn w:val="a"/>
    <w:qFormat/>
    <w:locked/>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unhideWhenUsed/>
    <w:qFormat/>
    <w:locked/>
    <w:pPr>
      <w:keepNext/>
      <w:keepLines/>
      <w:numPr>
        <w:ilvl w:val="2"/>
        <w:numId w:val="1"/>
      </w:numPr>
      <w:spacing w:before="260" w:after="260" w:line="413" w:lineRule="auto"/>
      <w:outlineLvl w:val="2"/>
    </w:pPr>
    <w:rPr>
      <w:rFonts w:eastAsia="Heiti SC Medium"/>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w:basedOn w:val="a"/>
    <w:link w:val="Char"/>
    <w:uiPriority w:val="99"/>
    <w:unhideWhenUsed/>
    <w:qFormat/>
    <w:pPr>
      <w:spacing w:after="120"/>
    </w:pPr>
  </w:style>
  <w:style w:type="paragraph" w:styleId="a5">
    <w:name w:val="Plain Text"/>
    <w:basedOn w:val="a"/>
    <w:link w:val="Char0"/>
    <w:qFormat/>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qFormat/>
    <w:pPr>
      <w:ind w:firstLineChars="200" w:firstLine="592"/>
    </w:pPr>
    <w:rPr>
      <w:rFonts w:eastAsia="仿宋_GB2312"/>
      <w:sz w:val="30"/>
    </w:rPr>
  </w:style>
  <w:style w:type="paragraph" w:styleId="a7">
    <w:name w:val="Balloon Text"/>
    <w:basedOn w:val="a"/>
    <w:link w:val="Char2"/>
    <w:uiPriority w:val="99"/>
    <w:semiHidden/>
    <w:qFormat/>
    <w:rPr>
      <w:sz w:val="18"/>
      <w:szCs w:val="18"/>
    </w:rPr>
  </w:style>
  <w:style w:type="paragraph" w:styleId="a8">
    <w:name w:val="footer"/>
    <w:basedOn w:val="a"/>
    <w:link w:val="Char3"/>
    <w:uiPriority w:val="99"/>
    <w:qFormat/>
    <w:pPr>
      <w:tabs>
        <w:tab w:val="center" w:pos="4153"/>
        <w:tab w:val="right" w:pos="8306"/>
      </w:tabs>
      <w:snapToGrid w:val="0"/>
      <w:jc w:val="left"/>
    </w:pPr>
    <w:rPr>
      <w:kern w:val="0"/>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
    <w:unhideWhenUsed/>
    <w:qFormat/>
    <w:pPr>
      <w:spacing w:line="460" w:lineRule="exact"/>
      <w:ind w:firstLineChars="200" w:firstLine="472"/>
    </w:pPr>
    <w:rPr>
      <w:rFonts w:eastAsia="仿宋_GB2312"/>
      <w:sz w:val="24"/>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Theme"/>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qFormat/>
    <w:rPr>
      <w:kern w:val="2"/>
      <w:sz w:val="21"/>
      <w:szCs w:val="24"/>
    </w:rPr>
  </w:style>
  <w:style w:type="character" w:customStyle="1" w:styleId="Char0">
    <w:name w:val="纯文本 Char"/>
    <w:link w:val="a5"/>
    <w:qFormat/>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0"/>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qFormat/>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qFormat/>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4082</Words>
  <Characters>23269</Characters>
  <Application>Microsoft Office Word</Application>
  <DocSecurity>0</DocSecurity>
  <Lines>193</Lines>
  <Paragraphs>54</Paragraphs>
  <ScaleCrop>false</ScaleCrop>
  <Company>微软中国</Company>
  <LinksUpToDate>false</LinksUpToDate>
  <CharactersWithSpaces>27297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欧阳怡然</cp:lastModifiedBy>
  <cp:revision>32</cp:revision>
  <cp:lastPrinted>2021-06-30T09:03:00Z</cp:lastPrinted>
  <dcterms:created xsi:type="dcterms:W3CDTF">2025-03-17T01:19:00Z</dcterms:created>
  <dcterms:modified xsi:type="dcterms:W3CDTF">2025-06-23T15:01:00Z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5460FFDB803B4FB390DB5FF9E8ED489F</vt:lpwstr>
  </property>
</Properties>
</file>